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b/>
          <w:sz w:val="28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-240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                        </w:t>
      </w:r>
    </w:p>
    <w:p>
      <w:pPr>
        <w:pStyle w:val="Normal"/>
        <w:widowControl w:val="false"/>
        <w:spacing w:lineRule="auto" w:line="240" w:before="0" w:after="0"/>
        <w:ind w:left="-240"/>
        <w:rPr>
          <w:rFonts w:ascii="Times New Roman" w:hAnsi="Times New Roman" w:eastAsia="Times New Roman" w:cs="Times New Roman"/>
          <w:i w:val="false"/>
          <w:i w:val="false"/>
          <w:sz w:val="20"/>
          <w:szCs w:val="20"/>
        </w:rPr>
      </w:pPr>
      <w:r>
        <w:rPr>
          <w:rFonts w:eastAsia="Times New Roman" w:cs="Times New Roman" w:ascii="Times New Roman" w:hAnsi="Times New Roman"/>
          <w:i w:val="false"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i w:val="false"/>
          <w:color w:val="000000"/>
          <w:sz w:val="28"/>
          <w:szCs w:val="28"/>
          <w:lang w:eastAsia="ru-RU"/>
        </w:rPr>
        <w:t>«26» сентября 2025 года</w:t>
        <w:tab/>
        <w:tab/>
        <w:tab/>
        <w:tab/>
        <w:tab/>
        <w:tab/>
        <w:t xml:space="preserve">     </w:t>
        <w:tab/>
        <w:t xml:space="preserve">               №</w:t>
      </w:r>
      <w:r>
        <w:rPr>
          <w:rFonts w:eastAsia="Times New Roman" w:cs="Times New Roman" w:ascii="Times New Roman" w:hAnsi="Times New Roman"/>
          <w:i w:val="false"/>
          <w:color w:val="000000"/>
          <w:sz w:val="20"/>
          <w:szCs w:val="20"/>
          <w:lang w:eastAsia="ru-RU"/>
        </w:rPr>
        <w:t>1/12</w:t>
      </w:r>
    </w:p>
    <w:p>
      <w:pPr>
        <w:pStyle w:val="Normal"/>
        <w:widowControl w:val="false"/>
        <w:spacing w:lineRule="auto" w:line="240" w:before="0" w:after="0"/>
        <w:ind w:left="-240"/>
        <w:rPr>
          <w:rFonts w:ascii="PT Astra Serif" w:hAnsi="PT Astra Serif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PT Astra Serif" w:hAnsi="PT Astra Serif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240"/>
        <w:rPr>
          <w:rFonts w:ascii="PT Astra Serif" w:hAnsi="PT Astra Serif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 утверждении структуры органов местного самоуправления Ровеньского муниципального округа Белгородской области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tLeast" w:line="280" w:before="0" w:after="1"/>
        <w:ind w:firstLine="708"/>
        <w:jc w:val="both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В соответствии со </w:t>
      </w:r>
      <w:hyperlink r:id="rId3" w:tooltip="https://login.consultant.ru/link/?req=doc&amp;base=LAW&amp;n=471024&amp;dst=100378">
        <w:r>
          <w:rPr>
            <w:rStyle w:val="Style"/>
            <w:rFonts w:eastAsia="Times New Roman" w:cs="Times New Roman" w:ascii="Times New Roman" w:hAnsi="Times New Roman"/>
            <w:bCs/>
            <w:sz w:val="28"/>
            <w:szCs w:val="28"/>
          </w:rPr>
          <w:t>статьей 14</w:t>
        </w:r>
      </w:hyperlink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власти», статьей 4 закона Белгородской области от 17 июля 2025 года № 506 «Об отдельных вопросах организации местного самоуправления в Белгородской области», 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highlight w:val="white"/>
        </w:rPr>
        <w:t>Белгородской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7"/>
        </w:rPr>
        <w:t>решил</w:t>
      </w:r>
      <w:r>
        <w:rPr>
          <w:rFonts w:eastAsia="Times New Roman" w:cs="Times New Roman" w:ascii="Times New Roman" w:hAnsi="Times New Roman"/>
          <w:b/>
          <w:sz w:val="27"/>
          <w:szCs w:val="27"/>
        </w:rPr>
        <w:t>:</w:t>
      </w:r>
    </w:p>
    <w:p>
      <w:pPr>
        <w:pStyle w:val="Normal"/>
        <w:widowControl w:val="false"/>
        <w:spacing w:lineRule="atLeast" w:line="280" w:before="0" w:after="1"/>
        <w:ind w:firstLine="708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1.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Утвердить структуру органов местного самоуправления Ровеньского муниципального округа Белгородской области (прилагается).</w:t>
      </w:r>
    </w:p>
    <w:p>
      <w:pPr>
        <w:pStyle w:val="Normal"/>
        <w:widowControl w:val="false"/>
        <w:spacing w:lineRule="atLeast" w:line="280" w:before="0" w:after="1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 Настоящее решение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tLeast" w:line="280" w:before="0" w:after="1"/>
        <w:ind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Белгородской области                                                                    В. А. Некрасов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   В. А. Некрасов</w:t>
      </w:r>
    </w:p>
    <w:p>
      <w:pPr>
        <w:pStyle w:val="Normal"/>
        <w:spacing w:lineRule="auto" w:line="240" w:before="0" w:after="0"/>
        <w:ind w:hanging="0"/>
        <w:rPr/>
      </w:pPr>
      <w:r>
        <w:rPr/>
      </w:r>
    </w:p>
    <w:p>
      <w:pPr>
        <w:pStyle w:val="Normal"/>
        <w:spacing w:lineRule="auto" w:line="240" w:before="0" w:after="0"/>
        <w:ind w:firstLine="709"/>
        <w:rPr/>
      </w:pPr>
      <w:r>
        <w:rPr/>
      </w:r>
    </w:p>
    <w:tbl>
      <w:tblPr>
        <w:tblStyle w:val="869"/>
        <w:tblW w:w="4245" w:type="dxa"/>
        <w:jc w:val="left"/>
        <w:tblInd w:w="53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5"/>
      </w:tblGrid>
      <w:tr>
        <w:trPr/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УТВЕРЖДЕНА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решением Совета депутатов Ровеньского муниципального округа Белгородской области от «26» сентября 2025 г. 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1/12</w:t>
            </w:r>
          </w:p>
        </w:tc>
      </w:tr>
    </w:tbl>
    <w:p>
      <w:pPr>
        <w:pStyle w:val="Normal"/>
        <w:spacing w:lineRule="auto" w:line="240" w:before="0" w:after="0"/>
        <w:ind w:firstLine="709"/>
        <w:rPr/>
      </w:pPr>
      <w:r>
        <w:rPr/>
      </w:r>
    </w:p>
    <w:p>
      <w:pPr>
        <w:pStyle w:val="Normal"/>
        <w:spacing w:lineRule="auto" w:line="240" w:before="0" w:after="0"/>
        <w:ind w:firstLine="709"/>
        <w:rPr/>
      </w:pPr>
      <w:r>
        <w:rPr/>
      </w:r>
    </w:p>
    <w:p>
      <w:pPr>
        <w:pStyle w:val="Normal"/>
        <w:spacing w:lineRule="auto" w:line="240" w:before="0" w:after="0"/>
        <w:ind w:firstLine="709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Структура органов местного самоуправления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Ровеньского муниципального округа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Структуру органов местного самоуправления Ровеньского муниципального округа Белгородской области составляют: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1) Совет депутатов Ровеньского муниципального округа Белгородской области - представительный орган Ровеньского муниципального округа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Белгородской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2) Глава Ровеньского муниципального округа Белгородской области - высшее должностное лицо Ровеньского муниципального округа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Белгородской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3) Администрация Ровеньского муниципального округа Белгородской области – местная администрация (исполнительно-распорядительный орган)</w:t>
      </w: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</w:rPr>
        <w:t xml:space="preserve"> Ровеньского муниципального округа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Белгородской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4) Контрольно-счетная комиссия Ровеньского муниципального округа Белгородской области - контрольно-счетный орган Ровеньского муниципального округа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Белгородской области.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Segoe UI">
    <w:charset w:val="01"/>
    <w:family w:val="auto"/>
    <w:pitch w:val="default"/>
  </w:font>
  <w:font w:name="PT Astra Serif">
    <w:charset w:val="01"/>
    <w:family w:val="auto"/>
    <w:pitch w:val="default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qFormat/>
    <w:rPr/>
  </w:style>
  <w:style w:type="character" w:styleId="Style8" w:customStyle="1">
    <w:name w:val="Нижний колонтитул Знак"/>
    <w:basedOn w:val="DefaultParagraphFont"/>
    <w:uiPriority w:val="99"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471024&amp;dst=100378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272</Words>
  <Characters>2134</Characters>
  <CharactersWithSpaces>2576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2025-07-30T08:41:00Z</dcterms:created>
  <dc:creator>Пушкина Яна Анатольевна</dc:creator>
  <dc:description/>
  <dc:language>ru-RU</dc:language>
  <cp:lastModifiedBy/>
  <dcterms:modified xsi:type="dcterms:W3CDTF">2025-09-26T16:55:22Z</dcterms:modified>
  <cp:revision>9</cp:revision>
  <dc:subject/>
  <dc:title/>
</cp:coreProperties>
</file>