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ЗЕМСКОЕ СОБРАНИЕ </w:t>
      </w:r>
      <w:r>
        <w:rPr>
          <w:sz w:val="28"/>
          <w:szCs w:val="28"/>
          <w:highlight w:val="white"/>
          <w:lang w:val="ru-RU"/>
        </w:rPr>
        <w:t xml:space="preserve">НОВОАЛЕКСАНДРОВСКОГО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СЕЛЬСКОГО ПОСЕЛЕНИЯ</w:t>
      </w:r>
      <w:r>
        <w:rPr>
          <w:highlight w:val="white"/>
        </w:rPr>
      </w:r>
    </w:p>
    <w:p>
      <w:pPr>
        <w:pStyle w:val="834"/>
        <w:jc w:val="center"/>
        <w:spacing w:after="0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МУНИЦИПАЛЬНОГО РАЙОНА «РОВЕНЬСКИЙ РАЙОН»</w:t>
      </w:r>
      <w:r>
        <w:rPr>
          <w:highlight w:val="white"/>
        </w:rPr>
      </w:r>
    </w:p>
    <w:p>
      <w:pPr>
        <w:pStyle w:val="834"/>
        <w:jc w:val="center"/>
        <w:spacing w:after="0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highlight w:val="white"/>
        </w:rPr>
      </w:r>
    </w:p>
    <w:p>
      <w:pPr>
        <w:pStyle w:val="834"/>
        <w:jc w:val="center"/>
        <w:spacing w:after="0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Село </w:t>
      </w:r>
      <w:r>
        <w:rPr>
          <w:sz w:val="28"/>
          <w:szCs w:val="28"/>
          <w:highlight w:val="white"/>
          <w:lang w:val="ru-RU"/>
        </w:rPr>
        <w:t xml:space="preserve">Новоалександровка</w:t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РЕШЕНИЕ</w:t>
      </w:r>
      <w:r>
        <w:rPr>
          <w:highlight w:val="white"/>
        </w:rPr>
      </w:r>
    </w:p>
    <w:p>
      <w:pPr>
        <w:pStyle w:val="869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№58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97" w:type="dxa"/>
            <w:textDirection w:val="lrTb"/>
            <w:noWrap w:val="false"/>
          </w:tcPr>
          <w:p>
            <w:pPr>
              <w:pStyle w:val="834"/>
              <w:contextualSpacing w:val="true"/>
              <w:ind w:left="142"/>
              <w:jc w:val="both"/>
              <w:widowControl w:val="off"/>
              <w:rPr>
                <w:rFonts w:eastAsia="Times New Roman"/>
                <w:sz w:val="26"/>
                <w:szCs w:val="28"/>
                <w:highlight w:val="white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highlight w:val="white"/>
                <w:lang w:val="ru-RU" w:eastAsia="ru-RU"/>
              </w:rPr>
              <w:t xml:space="preserve">О выражении согласия населения </w:t>
            </w:r>
            <w:r>
              <w:rPr>
                <w:rFonts w:cs="Times New Roman" w:eastAsia="Times New Roman"/>
                <w:b/>
                <w:sz w:val="28"/>
                <w:szCs w:val="28"/>
                <w:highlight w:val="white"/>
                <w:lang w:val="ru-RU" w:eastAsia="ru-RU"/>
              </w:rPr>
              <w:br/>
            </w:r>
            <w:r>
              <w:rPr>
                <w:rFonts w:cs="Times New Roman" w:eastAsia="Times New Roman"/>
                <w:b/>
                <w:sz w:val="28"/>
                <w:szCs w:val="28"/>
                <w:highlight w:val="white"/>
                <w:lang w:val="ru-RU" w:eastAsia="ru-RU"/>
              </w:rPr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>
              <w:rPr>
                <w:highlight w:val="white"/>
              </w:rPr>
            </w:r>
          </w:p>
        </w:tc>
      </w:tr>
    </w:tbl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ind w:right="284" w:firstLine="709"/>
        <w:jc w:val="both"/>
        <w:rPr>
          <w:rFonts w:cs="Times New Roman" w:eastAsia="Times New Roman"/>
          <w:sz w:val="28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sz w:val="28"/>
          <w:szCs w:val="28"/>
          <w:highlight w:val="white"/>
        </w:rPr>
        <w:t xml:space="preserve"> сельского поселения муниципального р</w:t>
      </w:r>
      <w:r>
        <w:rPr>
          <w:rFonts w:cs="Times New Roman" w:eastAsia="Times New Roman"/>
          <w:sz w:val="28"/>
          <w:szCs w:val="28"/>
          <w:highlight w:val="white"/>
        </w:rPr>
        <w:t xml:space="preserve">айона «Ровеньский район» Белгородской области, земское собрание </w:t>
      </w:r>
      <w:r>
        <w:rPr>
          <w:rFonts w:cs="Times New Roman" w:eastAsia="Times New Roman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  <w:highlight w:val="white"/>
        </w:rPr>
        <w:t xml:space="preserve">р е ш и л о:</w:t>
      </w:r>
      <w:r>
        <w:rPr>
          <w:highlight w:val="white"/>
        </w:rPr>
      </w:r>
    </w:p>
    <w:p>
      <w:pPr>
        <w:ind w:right="333" w:firstLine="709"/>
        <w:jc w:val="both"/>
        <w:rPr>
          <w:rFonts w:cs="Times New Roman" w:eastAsia="Times New Roman"/>
          <w:sz w:val="28"/>
          <w:szCs w:val="28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sz w:val="28"/>
          <w:szCs w:val="28"/>
          <w:highlight w:val="white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Ровеньского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</w:t>
      </w:r>
      <w:r>
        <w:rPr>
          <w:rFonts w:cs="Times New Roman" w:eastAsia="Times New Roman"/>
          <w:sz w:val="28"/>
          <w:szCs w:val="28"/>
          <w:highlight w:val="white"/>
        </w:rPr>
        <w:t xml:space="preserve">го округа.</w:t>
      </w:r>
      <w:r>
        <w:rPr>
          <w:highlight w:val="white"/>
        </w:rPr>
      </w:r>
    </w:p>
    <w:p>
      <w:pPr>
        <w:ind w:right="333" w:firstLine="709"/>
        <w:jc w:val="both"/>
        <w:rPr>
          <w:rFonts w:cs="Times New Roman" w:eastAsia="Times New Roman"/>
          <w:sz w:val="28"/>
          <w:szCs w:val="28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</w:rPr>
        <w:t xml:space="preserve">2. Обратиться в 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</w:t>
      </w:r>
      <w:r>
        <w:rPr>
          <w:rFonts w:cs="Times New Roman" w:eastAsia="Times New Roman"/>
          <w:sz w:val="28"/>
          <w:szCs w:val="28"/>
          <w:highlight w:val="white"/>
        </w:rPr>
        <w:t xml:space="preserve">униципальных образований.  </w:t>
      </w:r>
      <w:r>
        <w:rPr>
          <w:highlight w:val="white"/>
        </w:rPr>
      </w:r>
    </w:p>
    <w:p>
      <w:pPr>
        <w:ind w:right="333" w:firstLine="709"/>
        <w:jc w:val="both"/>
        <w:rPr>
          <w:rFonts w:cs="Times New Roman" w:eastAsia="Times New Roman"/>
          <w:sz w:val="28"/>
          <w:szCs w:val="28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>
        <w:rPr>
          <w:highlight w:val="white"/>
        </w:rPr>
      </w:r>
    </w:p>
    <w:p>
      <w:pPr>
        <w:ind w:right="333" w:firstLine="708"/>
        <w:jc w:val="both"/>
        <w:rPr>
          <w:rFonts w:cs="Times New Roman" w:eastAsia="Times New Roman"/>
          <w:sz w:val="28"/>
          <w:highlight w:val="white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4. Опубликовать настоящее решение в сетевом издании «Ровеньская нива» (https://niva1931.ru) в порядке, предусмот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ренном Уставом 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ind w:right="333" w:firstLine="708"/>
        <w:jc w:val="both"/>
        <w:rPr>
          <w:rFonts w:cs="Times New Roman" w:eastAsia="Times New Roman"/>
          <w:color w:val="000000"/>
          <w:sz w:val="28"/>
          <w:highlight w:val="white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5. Обнародовать настоящее решение в порядке, предусмотренном    Уставом 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муниципального района «Ровеньский ра</w:t>
      </w:r>
      <w:r>
        <w:rPr>
          <w:rFonts w:cs="Times New Roman" w:eastAsia="Times New Roman"/>
          <w:sz w:val="28"/>
          <w:szCs w:val="28"/>
          <w:highlight w:val="white"/>
        </w:rPr>
        <w:t xml:space="preserve">йон» Белгородской области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и разме</w:t>
      </w:r>
      <w:bookmarkStart w:id="0" w:name="_GoBack"/>
      <w:r>
        <w:rPr>
          <w:highlight w:val="white"/>
        </w:rPr>
      </w:r>
      <w:bookmarkEnd w:id="0"/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в сети Интернет (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адрес сайта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https://novoaleksandrovskoe-r31.gosweb.gosuslugi.ru/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).</w:t>
      </w:r>
      <w:r>
        <w:rPr>
          <w:highlight w:val="white"/>
        </w:rPr>
      </w:r>
    </w:p>
    <w:p>
      <w:pPr>
        <w:ind w:right="333" w:firstLine="709"/>
        <w:jc w:val="both"/>
        <w:rPr>
          <w:rFonts w:cs="Times New Roman" w:eastAsia="Times New Roman"/>
          <w:sz w:val="28"/>
          <w:szCs w:val="28"/>
          <w:highlight w:val="white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6.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eastAsia="Times New Roman"/>
          <w:sz w:val="28"/>
          <w:szCs w:val="28"/>
          <w:highlight w:val="white"/>
        </w:rPr>
        <w:t xml:space="preserve">Настоящее решение вступает в силу после его обнародования.</w:t>
      </w:r>
      <w:r>
        <w:rPr>
          <w:highlight w:val="white"/>
        </w:rPr>
      </w:r>
    </w:p>
    <w:p>
      <w:pPr>
        <w:ind w:right="333" w:firstLine="709"/>
        <w:jc w:val="both"/>
        <w:rPr>
          <w:rFonts w:cs="Times New Roman" w:eastAsia="Times New Roman"/>
          <w:sz w:val="28"/>
          <w:szCs w:val="28"/>
          <w:highlight w:val="white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7. Контроль за и</w:t>
      </w:r>
      <w:r>
        <w:rPr>
          <w:rFonts w:cs="Times New Roman" w:eastAsia="Times New Roman"/>
          <w:sz w:val="28"/>
          <w:szCs w:val="28"/>
          <w:highlight w:val="white"/>
        </w:rPr>
        <w:t xml:space="preserve">сполнением настоящего решения возложить на главу </w:t>
      </w:r>
      <w:r>
        <w:rPr>
          <w:rFonts w:cs="Times New Roman" w:eastAsia="Times New Roman"/>
          <w:sz w:val="28"/>
          <w:szCs w:val="28"/>
          <w:highlight w:val="white"/>
        </w:rPr>
        <w:t xml:space="preserve">Новоалександровского</w:t>
      </w:r>
      <w:r>
        <w:rPr>
          <w:rFonts w:cs="Times New Roman" w:eastAsia="Times New Roman"/>
          <w:sz w:val="28"/>
          <w:szCs w:val="28"/>
          <w:highlight w:val="white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</w:rPr>
        <w:t xml:space="preserve">Э. А. Козаченко.</w:t>
      </w:r>
      <w:r>
        <w:rPr>
          <w:highlight w:val="white"/>
        </w:rPr>
      </w:r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Новоалександровского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Э.А. Козаченко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2AE61E3-EC1F-41AB-9DE5-5CC353C1DA7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7</cp:revision>
  <dcterms:created xsi:type="dcterms:W3CDTF">2024-11-21T08:11:00Z</dcterms:created>
  <dcterms:modified xsi:type="dcterms:W3CDTF">2024-11-29T09:00:04Z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