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2/27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О ликвидации администрации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(ОГРН </w:t>
      </w:r>
      <w:r>
        <w:rPr>
          <w:rFonts w:eastAsia="Times New Roman" w:cs="Times New Roman" w:ascii="Times New Roman" w:hAnsi="Times New Roman"/>
          <w:color w:themeColor="text1" w:val="000000"/>
          <w:sz w:val="28"/>
        </w:rPr>
        <w:t>1023102159684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ИНН </w:t>
      </w:r>
      <w:r>
        <w:rPr>
          <w:rFonts w:eastAsia="Times New Roman" w:cs="Times New Roman" w:ascii="Times New Roman" w:hAnsi="Times New Roman"/>
          <w:color w:themeColor="text1" w:val="000000"/>
          <w:sz w:val="28"/>
        </w:rPr>
        <w:t>3117001001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</w:t>
      </w:r>
      <w:r>
        <w:rPr>
          <w:rFonts w:eastAsia="Times New Roman" w:cs="Times New Roman" w:ascii="Times New Roman" w:hAnsi="Times New Roman"/>
          <w:color w:themeColor="text1" w:val="000000"/>
          <w:sz w:val="28"/>
        </w:rPr>
        <w:t>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309740, Белгородская область, Ровеньский район, поселок Ровеньки, ул. Ленина, д.50 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до 1 апреля 2026 </w:t>
      </w:r>
      <w:r>
        <w:rPr>
          <w:rFonts w:eastAsia="Times New Roman" w:cs="Times New Roman" w:ascii="Times New Roman" w:hAnsi="Times New Roman"/>
          <w:sz w:val="28"/>
          <w:szCs w:val="28"/>
        </w:rPr>
        <w:t>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0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2/27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ru-RU"/>
              </w:rPr>
              <w:t xml:space="preserve">- Карпушин Юрий Петрович, </w:t>
            </w:r>
            <w:r>
              <w:rPr>
                <w:rFonts w:eastAsia="Calibri" w:ascii="Times New Roman" w:hAnsi="Times New Roman" w:eastAsiaTheme="minorHAnsi"/>
                <w:color w:val="000000"/>
                <w:sz w:val="28"/>
                <w:szCs w:val="28"/>
                <w:lang w:eastAsia="zh-CN"/>
              </w:rPr>
              <w:t>заместитель главы администрации Ровеньского района - руководитель аппарата администрации района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Соловьёва Алина Александровна, начальник отдела правового обеспечения, муниципальной службы и кадров администрации Ровеньского района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 w:val="false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 w:val="false"/>
                <w:sz w:val="28"/>
                <w:szCs w:val="28"/>
                <w:highlight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- Злобина Наталья Владимировна,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главный специалист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 отдела правового обеспечения, муниципальной службы и кадров администрации Ровеньского района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Андриевская Наталья Викторовна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 xml:space="preserve">заместитель начальника управления </w:t>
            </w:r>
            <w:r>
              <w:rPr>
                <w:rFonts w:eastAsia="Times New Roman" w:cs="Times New Roman" w:ascii="Times New Roman" w:hAnsi="Times New Roman"/>
                <w:bCs/>
                <w:sz w:val="28"/>
              </w:rPr>
              <w:t xml:space="preserve">управления финансов и бюджетной политики администрации Ровеньского района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- начальник отдела учета и отчетности - главный бухгалтер</w:t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0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2/27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05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4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5124"/>
        <w:gridCol w:w="3895"/>
      </w:tblGrid>
      <w:tr>
        <w:trPr>
          <w:trHeight w:val="76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Ровеньского района Белгородской области о ликвидации администрации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Ровеньского района Белгородской области, заявления о закрытии данного счета.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56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widowControl/>
        <w:spacing w:lineRule="auto" w:line="259" w:before="0" w:after="16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Без списка"/>
    <w:uiPriority w:val="99"/>
    <w:semiHidden/>
    <w:unhideWhenUsed/>
    <w:qFormat/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6</Pages>
  <Words>1260</Words>
  <Characters>9247</Characters>
  <CharactersWithSpaces>10616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2025-10-30T08:06:05Z</cp:lastPrinted>
  <dcterms:modified xsi:type="dcterms:W3CDTF">2025-11-06T10:21:04Z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