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  <w:sz w:val="32"/>
          <w:szCs w:val="32"/>
          <w:lang w:val="en-US"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0"/>
          <w:szCs w:val="20"/>
          <w:lang w:val="en-US" w:bidi="en-US"/>
        </w:rPr>
      </w:pPr>
      <w:r>
        <w:rPr>
          <w:color w:val="000000"/>
          <w:sz w:val="20"/>
          <w:szCs w:val="20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suppressAutoHyphens w:val="true"/>
        <w:spacing w:lineRule="atLeast" w:line="102" w:before="280" w:after="198"/>
        <w:jc w:val="both"/>
        <w:rPr>
          <w:b/>
          <w:bCs/>
        </w:rPr>
      </w:pPr>
      <w:r>
        <w:rPr>
          <w:rFonts w:eastAsia="Calibri"/>
          <w:b/>
          <w:bCs/>
          <w:sz w:val="28"/>
          <w:szCs w:val="28"/>
          <w:lang w:eastAsia="en-US"/>
        </w:rPr>
        <w:t>24 апреля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2026 года</w:t>
        <w:tab/>
        <w:t xml:space="preserve">     </w:t>
        <w:tab/>
        <w:tab/>
        <w:tab/>
        <w:tab/>
        <w:t xml:space="preserve">                                № </w:t>
      </w:r>
      <w:r>
        <w:rPr>
          <w:rFonts w:eastAsia="Calibri"/>
          <w:b/>
          <w:bCs/>
          <w:sz w:val="28"/>
          <w:szCs w:val="28"/>
          <w:lang w:eastAsia="en-US"/>
        </w:rPr>
        <w:t>11/158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691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Верхнесеребрянского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7"/>
          <w:szCs w:val="27"/>
        </w:rPr>
        <w:t>решил</w:t>
      </w:r>
      <w:r>
        <w:rPr>
          <w:sz w:val="27"/>
          <w:szCs w:val="27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>
          <w:sz w:val="27"/>
          <w:szCs w:val="27"/>
        </w:rPr>
      </w:pPr>
      <w:r>
        <w:rPr>
          <w:sz w:val="27"/>
          <w:szCs w:val="27"/>
        </w:rPr>
        <w:t>Утвердить отчет об исполнении местного бюджета Верхнесеребрянского сельского поселения за 2025 год по доходам в сумме 10 205,7 тыс. рублей, по расходам в сумме 10 548,7 тыс. рублей с превышением расходов над доходами (дефицит местного бюджета) в сумме 343,0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по источникам внутреннего финансирования дефицита местного бюджета Верхнесеребрянского сельского поселения за 2025 год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по поступлению доходов в местный бюджет Верхнесеребрянского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расходов местного бюджета Верхнесеребрянского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расходов местного бюджета Верхнесеребрянского сельского поселения за 2025 год по ведомственной структуре расходов местного бюджета Верхнесеребрянского сельского поселения согласно приложению 4 к настоящему решению.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 В.А. Некрасов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5"/>
        <w:gridCol w:w="4251"/>
      </w:tblGrid>
      <w:tr>
        <w:trPr/>
        <w:tc>
          <w:tcPr>
            <w:tcW w:w="5495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Верхнесеребрянского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103"/>
        <w:gridCol w:w="50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ВЕРХНЕСЕРЕБРЯНСКОГО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6"/>
                <w:szCs w:val="26"/>
              </w:rPr>
              <w:t>343,0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10205,7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10205,7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10205,7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10205,7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10548,7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10548,7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10548,7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10548,7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6"/>
                <w:szCs w:val="26"/>
              </w:rPr>
              <w:t>343,0</w:t>
            </w:r>
          </w:p>
        </w:tc>
        <w:tc>
          <w:tcPr>
            <w:tcW w:w="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Верхнесеребрянского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Верхнесеребрянского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9855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9"/>
        <w:gridCol w:w="5705"/>
        <w:gridCol w:w="1188"/>
        <w:gridCol w:w="12"/>
      </w:tblGrid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3 834,2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161,0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161,0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742,5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742,5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2 001,7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486,2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1 515,5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198,3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1 317,2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902 108 00000 00 0000 000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1,6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902 108 04020 01 1000 110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1,6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902 111 00000 00 0000 000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927,4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902 111 05025 10 0000 120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927,4</w:t>
            </w:r>
          </w:p>
        </w:tc>
      </w:tr>
      <w:tr>
        <w:trPr>
          <w:trHeight w:val="13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6 371,5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3 794,0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158,0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902 202 16001 10 0000 150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3 636,0</w:t>
            </w:r>
          </w:p>
        </w:tc>
      </w:tr>
      <w:tr>
        <w:trPr>
          <w:trHeight w:val="45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902 202 20000 00 0000 150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2 188,2</w:t>
            </w:r>
          </w:p>
        </w:tc>
      </w:tr>
      <w:tr>
        <w:trPr>
          <w:trHeight w:val="321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902 202 29999 10 0000 150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Прочие субсидии бюджетам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2 188,2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902 202 30000 00 0000 150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902 202 35118 10 0000 150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165,0</w:t>
            </w:r>
          </w:p>
        </w:tc>
      </w:tr>
      <w:tr>
        <w:trPr>
          <w:trHeight w:val="223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902 202 40000 00 0000 150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224,3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902 202 40014 10 0000 150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224,3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10 205,7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Верхнесеребрянского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269" w:type="dxa"/>
        <w:jc w:val="left"/>
        <w:tblInd w:w="-6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68"/>
        <w:gridCol w:w="993"/>
        <w:gridCol w:w="1703"/>
        <w:gridCol w:w="719"/>
        <w:gridCol w:w="1186"/>
      </w:tblGrid>
      <w:tr>
        <w:trPr>
          <w:tblHeader w:val="true"/>
          <w:trHeight w:val="293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58" w:leader="none"/>
              </w:tabs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5759,7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682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356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59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565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Верхнесеребрянского сельского поселения,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1655,4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Верхнесеребрянского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218,5</w:t>
            </w:r>
          </w:p>
        </w:tc>
      </w:tr>
      <w:tr>
        <w:trPr>
          <w:trHeight w:val="317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Верхнесеребрянского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12,6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Расходы на выплаты по оплате труда главы администрации Верхнесеребрянского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1654,7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Верхнесеребрянского сельского поселения»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2019,5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152,8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300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45,3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0,9</w:t>
            </w:r>
          </w:p>
        </w:tc>
      </w:tr>
      <w:tr>
        <w:trPr>
          <w:trHeight w:val="179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Верхнесеребрянского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>
            <w:pPr>
              <w:pStyle w:val="Normal"/>
              <w:jc w:val="both"/>
              <w:rPr/>
            </w:pPr>
            <w:r>
              <w:rPr>
                <w:bCs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153,1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11,9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28,6</w:t>
            </w:r>
          </w:p>
        </w:tc>
      </w:tr>
      <w:tr>
        <w:trPr>
          <w:trHeight w:val="125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01 4  03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пожарной безопасности и защиты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01 4 03 20350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28,6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Верхнесеребрянского сельского поселения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99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99 9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99 9 00 73880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1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trHeight w:val="41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trHeight w:val="411" w:hRule="atLeast"/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trHeight w:val="41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01 4 04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227,3</w:t>
            </w:r>
          </w:p>
        </w:tc>
      </w:tr>
      <w:tr>
        <w:trPr>
          <w:trHeight w:val="41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01 4 02 80570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224,2</w:t>
            </w:r>
          </w:p>
        </w:tc>
      </w:tr>
      <w:tr>
        <w:trPr>
          <w:trHeight w:val="411" w:hRule="atLeast"/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(Иные бюджетные ассигнования)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01 4 02 80570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800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3518,7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3518,7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3518,7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Муниципальные проекты, не входящие в национальные проекты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2303,4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01 2 01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2303,4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Реализация инициативных проектов в рамках инициативного бюджетирования (Благоустройство универсальной игровой площадки по ул. Центральная в c. Верхняя Серебрянка Ровеньского района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 xml:space="preserve">01 2 01 </w:t>
            </w:r>
            <w:r>
              <w:rPr>
                <w:lang w:val="en-US"/>
              </w:rPr>
              <w:t>S</w:t>
            </w:r>
            <w:r>
              <w:rPr/>
              <w:t>0302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2303,4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Liberation Serif"/>
                <w:b/>
                <w:color w:val="000000"/>
                <w:kern w:val="2"/>
                <w:lang w:eastAsia="ru-RU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1215,3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1215,3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Организация наружного освещения населенных пунктов Верхнесеребрянского сельского поселения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1010,9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203,8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</w:t>
            </w:r>
          </w:p>
          <w:p>
            <w:pPr>
              <w:pStyle w:val="Normal"/>
              <w:jc w:val="both"/>
              <w:rPr/>
            </w:pPr>
            <w:r>
              <w:rPr/>
              <w:t>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0,6</w:t>
            </w:r>
          </w:p>
        </w:tc>
      </w:tr>
      <w:tr>
        <w:trPr>
          <w:trHeight w:val="393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852,4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Liberation Serif"/>
                <w:b/>
                <w:bCs/>
                <w:color w:val="000000"/>
                <w:kern w:val="2"/>
                <w:lang w:eastAsia="ru-RU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01  4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 </w:t>
            </w: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01 4 02 81690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570,0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</w:p>
          <w:p>
            <w:pPr>
              <w:pStyle w:val="Normal"/>
              <w:jc w:val="both"/>
              <w:rPr/>
            </w:pPr>
            <w:r>
              <w:rPr/>
              <w:t>(Межбюджетные трансферты)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6,4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trHeight w:val="581" w:hRule="atLeast"/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Liberation Serif"/>
                <w:b/>
                <w:bCs/>
                <w:color w:val="000000"/>
                <w:kern w:val="2"/>
                <w:lang w:eastAsia="ru-RU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01 4 02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10548,7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Верхнесеребрянского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160" w:type="dxa"/>
        <w:jc w:val="left"/>
        <w:tblInd w:w="-3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68"/>
        <w:gridCol w:w="993"/>
        <w:gridCol w:w="993"/>
        <w:gridCol w:w="1695"/>
        <w:gridCol w:w="717"/>
        <w:gridCol w:w="1193"/>
      </w:tblGrid>
      <w:tr>
        <w:trPr>
          <w:tblHeader w:val="true"/>
          <w:trHeight w:val="233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КВСР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58" w:leader="none"/>
              </w:tabs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5759,7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682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378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59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3541,2</w:t>
            </w:r>
          </w:p>
        </w:tc>
      </w:tr>
      <w:tr>
        <w:trPr>
          <w:trHeight w:val="565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Верхнесеребрянского сельского поселения, в том числе территориальных органов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 </w:t>
            </w:r>
            <w:r>
              <w:rPr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1655,4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Верхнесеребрянского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218,5</w:t>
            </w:r>
          </w:p>
        </w:tc>
      </w:tr>
      <w:tr>
        <w:trPr>
          <w:trHeight w:val="317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Верхнесеребрянского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12,6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Расходы на выплаты по оплате труда главы администрации Верхнесеребрянского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1654,7</w:t>
            </w:r>
          </w:p>
        </w:tc>
      </w:tr>
      <w:tr>
        <w:trPr>
          <w:trHeight w:val="354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Верхнесеребрянского сельского поселения»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01 4 05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2218,5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2019,5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152,8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300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45,3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(Иные бюджетные ассигнования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0,9</w:t>
            </w:r>
          </w:p>
        </w:tc>
      </w:tr>
      <w:tr>
        <w:trPr>
          <w:trHeight w:val="179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Верхнесеребрянского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>
            <w:pPr>
              <w:pStyle w:val="Normal"/>
              <w:jc w:val="both"/>
              <w:rPr/>
            </w:pPr>
            <w:r>
              <w:rPr>
                <w:bCs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153,1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11,9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28,6</w:t>
            </w:r>
          </w:p>
        </w:tc>
      </w:tr>
      <w:tr>
        <w:trPr>
          <w:trHeight w:val="1251" w:hRule="atLeast"/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01 4  03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28,6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пожарной безопасности и защиты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01 4 03 20350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28,6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Верхнесеребрянского сельского поселения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99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99 9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99 9 00 73880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1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trHeight w:val="41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trHeight w:val="41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01 4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224,3</w:t>
            </w:r>
          </w:p>
        </w:tc>
      </w:tr>
      <w:tr>
        <w:trPr>
          <w:trHeight w:val="41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01 4 04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227,3</w:t>
            </w:r>
          </w:p>
        </w:tc>
      </w:tr>
      <w:tr>
        <w:trPr>
          <w:trHeight w:val="41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01 4 02 80570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224,2</w:t>
            </w:r>
          </w:p>
        </w:tc>
      </w:tr>
      <w:tr>
        <w:trPr>
          <w:trHeight w:val="411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(Иные бюджетные ассигнования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01 4 02 80570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800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3518,7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3518,7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3518,7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Муниципальные проекты, не входящие в национальные проекты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01 2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2303,4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01 2 01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2303,4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Реализация инициативных проектов в рамках инициативного бюджетирования (Благоустройство универсальной игровой площадки по ул. Центральная в c. Верхняя Серебрянка Ровеньского района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 xml:space="preserve">01 2 01 </w:t>
            </w:r>
            <w:r>
              <w:rPr>
                <w:lang w:val="en-US"/>
              </w:rPr>
              <w:t>S</w:t>
            </w:r>
            <w:r>
              <w:rPr/>
              <w:t>0302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2303,4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Liberation Serif"/>
                <w:b/>
                <w:color w:val="000000"/>
                <w:kern w:val="2"/>
                <w:lang w:eastAsia="ru-RU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1215,3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1215,3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Организация наружного освещения населенных пунктов Верхнесеребрянского сельского поселения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1010,9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203,8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</w:t>
            </w:r>
          </w:p>
          <w:p>
            <w:pPr>
              <w:pStyle w:val="Normal"/>
              <w:jc w:val="both"/>
              <w:rPr/>
            </w:pPr>
            <w:r>
              <w:rPr/>
              <w:t>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0,6</w:t>
            </w:r>
          </w:p>
        </w:tc>
      </w:tr>
      <w:tr>
        <w:trPr>
          <w:trHeight w:val="347" w:hRule="atLeast"/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852,4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Liberation Serif"/>
                <w:b/>
                <w:bCs/>
                <w:color w:val="000000"/>
                <w:kern w:val="2"/>
                <w:lang w:eastAsia="ru-RU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01  4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576,4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 </w:t>
            </w: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01 4 02 81690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570,0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</w:p>
          <w:p>
            <w:pPr>
              <w:pStyle w:val="Normal"/>
              <w:jc w:val="both"/>
              <w:rPr/>
            </w:pPr>
            <w:r>
              <w:rPr/>
              <w:t>(Межбюджетные трансферты)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6,4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Верхнесеребрянского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Liberation Serif"/>
                <w:b/>
                <w:bCs/>
                <w:color w:val="000000"/>
                <w:kern w:val="2"/>
                <w:lang w:eastAsia="ru-RU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01 4 02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</w:t>
            </w:r>
          </w:p>
          <w:p>
            <w:pPr>
              <w:pStyle w:val="Normal"/>
              <w:jc w:val="both"/>
              <w:rPr/>
            </w:pP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276,0</w:t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10548,7.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850" w:gutter="0" w:header="0" w:top="1134" w:footer="911" w:bottom="14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4B41-D4CB-4345-9E54-640CFB07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Application>LibreOffice/25.2.3.2$Linux_X86_64 LibreOffice_project/520$Build-2</Application>
  <AppVersion>15.0000</AppVersion>
  <Pages>15</Pages>
  <Words>2956</Words>
  <Characters>20411</Characters>
  <CharactersWithSpaces>22824</CharactersWithSpaces>
  <Paragraphs>783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dcterms:modified xsi:type="dcterms:W3CDTF">2026-04-28T15:43:44Z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