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 сентября 2025 года</w:t>
        <w:tab/>
        <w:tab/>
        <w:tab/>
        <w:tab/>
        <w:tab/>
        <w:tab/>
        <w:tab/>
        <w:t xml:space="preserve">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1/20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О ликвидации Муниципального совета Ровеньского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Белгородской области</w:t>
      </w:r>
    </w:p>
    <w:p>
      <w:pPr>
        <w:pStyle w:val="Normal"/>
        <w:spacing w:before="0" w:after="31"/>
        <w:ind w:hanging="0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Муниципальный совет Ровеньского района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(ОГРН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1063126004688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, ИНН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3117004997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, КПП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, 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309740, Белгородская область, Ровеньский район, поселок Ровеньки, ул. Ленина, д.50 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Муниципального совета Ровеньского района Белгородской области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Ликвидационной комиссии провести ликвидацию Муниципального совета Ровеньского района Белгородской области в срок до 1 марта 2026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Муниципального совета Ровеньского района Белгородской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  <w:lang w:eastAsia="ru-RU"/>
        </w:rPr>
        <w:t>Совету депутатов Ровеньского муниципального округа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Белгородской области утвердить промежуточный ликвидационный баланс Муниципального совета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Ровеньского района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Муниципального совета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Ровеньского района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cs="Times New Roman" w:ascii="Times New Roman" w:hAnsi="Times New Roman"/>
          <w:sz w:val="28"/>
          <w:szCs w:val="28"/>
          <w:highlight w:val="white"/>
        </w:rPr>
        <w:t>Контроль за выполнением решения возложить на постоянную комиссию Совета депутатов Ровеньского муниципального округа Белгородской области по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 вопросам законности и развития местного самоуправления.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В. А. Некрасов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В. А. Некрасов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Calibri" w:cs="Tahoma"/>
          <w:b/>
          <w:sz w:val="28"/>
          <w:szCs w:val="28"/>
        </w:rPr>
      </w:pPr>
      <w:r>
        <w:rPr>
          <w:rFonts w:eastAsia="Calibri" w:cs="Tahoma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08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«26» сентября 2025 г. 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1/20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Муниципального совета Ровеньского района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ru-RU"/>
              </w:rPr>
              <w:t>- Карпушин Юрий Петрович (</w:t>
            </w:r>
            <w:r>
              <w:rPr>
                <w:rFonts w:eastAsia="Calibri" w:ascii="Times New Roman" w:hAnsi="Times New Roman" w:eastAsiaTheme="minorHAnsi"/>
                <w:color w:val="000000"/>
                <w:sz w:val="28"/>
                <w:szCs w:val="28"/>
                <w:lang w:eastAsia="zh-CN"/>
              </w:rPr>
              <w:t>заместитель главы администрации Ровеньского района - руководитель аппарата администрации района)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- Соловьёва Алина Александровна (начальник отдела правового обеспечения, муниципальной службы и кадров администрации Ровеньского района)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sz w:val="28"/>
                <w:szCs w:val="28"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highlight w:val="white"/>
                <w:lang w:eastAsia="ru-RU"/>
              </w:rPr>
              <w:t xml:space="preserve">Назаренко Светлана Алексеевна (заместитель начальника организационного отдела Аппарата Муниципального совета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  <w:lang w:eastAsia="ru-RU"/>
              </w:rPr>
              <w:t>Ровеньского района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highlight w:val="white"/>
                <w:lang w:eastAsia="ru-RU"/>
              </w:rPr>
              <w:t>)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Куликова Людмила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заместитель начальника отдела бухгалтерского учета органов местного самоуправления, казенных учреждений Ровеньского района по оплате труда МКУ «ЦБУ Ровеньского района»</w:t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08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«26» сентября 2025 г. 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1/20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Порядок ликвидации Муниципального совета Ровеньского района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3"/>
        <w:gridCol w:w="5122"/>
        <w:gridCol w:w="3895"/>
      </w:tblGrid>
      <w:tr>
        <w:trPr>
          <w:trHeight w:val="765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Муниципальный Совет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Муниципального Совета Ровеньского района Белгородской области о ликвидации Муниципального Совета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Муниципального Совета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Муниципального Совета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Муниципального Совета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Муниципального Совета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Муниципального Совета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Муниципального Совета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Муниципального Совета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Муниципального Совета Ровеньского района Белгородской области, заявления о закрытии данного счета.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567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Муниципального Совета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Муниципального Совета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Times New Roman">
    <w:charset w:val="01"/>
    <w:family w:val="auto"/>
    <w:pitch w:val="default"/>
  </w:font>
  <w:font w:name="Segoe UI">
    <w:charset w:val="01"/>
    <w:family w:val="auto"/>
    <w:pitch w:val="default"/>
  </w:font>
  <w:font w:name="PT Astra Seri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6</Pages>
  <Words>1262</Words>
  <Characters>9254</Characters>
  <CharactersWithSpaces>10578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dcterms:modified xsi:type="dcterms:W3CDTF">2025-09-26T14:34:18Z</dcterms:modified>
  <cp:revision>11</cp:revision>
  <dc:subject/>
  <dc:title/>
</cp:coreProperties>
</file>