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2/36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Новоалександровского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Новоалександровского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1023102156120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3117001097,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309763, Белгородская область, Ровеньский р-н, с. Новоалександровка, ул. Мира, д. 5А,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Новоалександровского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Новоалександровского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Новоалександровского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Новоалександровского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Новоалександровского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2/36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Новоалександровского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Нудный Сергей Иванович,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 администрации Новоалександровского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  <w:highlight w:val="white"/>
              </w:rPr>
              <w:t>Вечёрка Ирина Алексеевна,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  <w:highlight w:val="white"/>
              </w:rPr>
              <w:t xml:space="preserve">экономист-финансист 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администрации Новоалександровского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Вечёрка Елена Александровна,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специалист МКУ «АХС Ровеньского района» (по согласованию)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Садовникова Елена Ивановна (по согласованию),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  <w:highlight w:val="white"/>
              </w:rPr>
              <w:t>Главный специалист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2/36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Новоалександровского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2"/>
        <w:gridCol w:w="5123"/>
        <w:gridCol w:w="3895"/>
      </w:tblGrid>
      <w:tr>
        <w:trPr>
          <w:trHeight w:val="76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Новоалександровского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Новоалександровского сельского поселения Ровеньского района Белгородской области о ликвидации администрации Новоалександровского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Новоалександровского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Новоалександровского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Новоалександровского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56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Новоалександровского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Новоалександровского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Новоалександровского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Новоалександровского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Новоалександровского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Новоалександровского сельского поселения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Новоалександровского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Новоалександровского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1318</Words>
  <Characters>10128</Characters>
  <CharactersWithSpaces>11553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2025-10-30T08:06:45Z</cp:lastPrinted>
  <dcterms:modified xsi:type="dcterms:W3CDTF">2025-11-06T10:20:24Z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