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Р о с </w:t>
      </w:r>
      <w:r>
        <w:rPr>
          <w:caps/>
          <w:sz w:val="28"/>
          <w:szCs w:val="28"/>
        </w:rPr>
        <w:t xml:space="preserve">с</w:t>
      </w:r>
      <w:r>
        <w:rPr>
          <w:caps/>
          <w:sz w:val="28"/>
          <w:szCs w:val="28"/>
        </w:rPr>
        <w:t xml:space="preserve"> и й с к а я  Ф е д е р а ц и я</w:t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Б ел г о </w:t>
      </w:r>
      <w:r>
        <w:rPr>
          <w:caps/>
          <w:sz w:val="28"/>
          <w:szCs w:val="28"/>
        </w:rPr>
        <w:t xml:space="preserve">р</w:t>
      </w:r>
      <w:r>
        <w:rPr>
          <w:caps/>
          <w:sz w:val="28"/>
          <w:szCs w:val="28"/>
        </w:rPr>
        <w:t xml:space="preserve"> о д с к а я  о б л а с т ь</w:t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муниципальный район «Ровеньский район» </w:t>
      </w:r>
      <w:r/>
    </w:p>
    <w:p>
      <w:pPr>
        <w:pStyle w:val="870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Земское собрание</w:t>
      </w:r>
      <w:r/>
    </w:p>
    <w:p>
      <w:pPr>
        <w:jc w:val="center"/>
      </w:pPr>
      <w:r>
        <w:rPr>
          <w:caps/>
          <w:sz w:val="28"/>
          <w:szCs w:val="28"/>
        </w:rPr>
        <w:t xml:space="preserve">ЛАДОМИРОВСКОГО  сельского поселения</w:t>
      </w:r>
      <w:r/>
    </w:p>
    <w:p>
      <w:pPr>
        <w:pStyle w:val="870"/>
        <w:jc w:val="left"/>
        <w:rPr>
          <w:rFonts w:hint="eastAsia"/>
        </w:rPr>
      </w:pP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870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70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7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29 октября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№36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691"/>
        <w:jc w:val="both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cs="Times New Roman" w:eastAsia="Times New Roman"/>
          <w:b/>
          <w:sz w:val="28"/>
          <w:szCs w:val="28"/>
          <w:lang w:eastAsia="ru-RU"/>
        </w:rPr>
        <w:br/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о преобразовании поселений, входящих в состав муниципального района «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Ровеньский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 район» Белгородской области, путем объединения </w:t>
      </w:r>
      <w:r>
        <w:rPr>
          <w:rFonts w:cs="Times New Roman" w:eastAsia="Times New Roman"/>
          <w:b/>
          <w:sz w:val="28"/>
          <w:szCs w:val="28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</w:t>
      </w:r>
      <w:r>
        <w:rPr>
          <w:rFonts w:cs="Times New Roman" w:eastAsia="Times New Roman"/>
          <w:b/>
          <w:sz w:val="28"/>
          <w:szCs w:val="28"/>
          <w:lang w:eastAsia="ru-RU"/>
        </w:rPr>
        <w:br/>
        <w:t xml:space="preserve">и проведении публичных слушаний по во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просу преобразования муниципального образования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</w:t>
      </w:r>
      <w:r>
        <w:rPr>
          <w:rFonts w:cs="Times New Roman"/>
          <w:sz w:val="28"/>
          <w:szCs w:val="28"/>
        </w:rPr>
        <w:t xml:space="preserve">Ровеньский</w:t>
      </w:r>
      <w:r>
        <w:rPr>
          <w:rFonts w:cs="Times New Roman"/>
          <w:sz w:val="28"/>
          <w:szCs w:val="28"/>
        </w:rPr>
        <w:t xml:space="preserve"> район» Белгородской области от «22» октября 2024 года №14/102 «О выдвижении инициативы о преобразовании поселений,  входящих  в сост</w:t>
      </w:r>
      <w:r>
        <w:rPr>
          <w:rFonts w:cs="Times New Roman"/>
          <w:sz w:val="28"/>
          <w:szCs w:val="28"/>
        </w:rPr>
        <w:t xml:space="preserve">ав  муниципального  района «</w:t>
      </w:r>
      <w:r>
        <w:rPr>
          <w:rFonts w:cs="Times New Roman"/>
          <w:sz w:val="28"/>
          <w:szCs w:val="28"/>
        </w:rPr>
        <w:t xml:space="preserve">Ровеньский</w:t>
      </w:r>
      <w:r>
        <w:rPr>
          <w:rFonts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</w:t>
      </w:r>
      <w:r>
        <w:rPr>
          <w:rFonts w:cs="Times New Roman"/>
          <w:sz w:val="28"/>
          <w:szCs w:val="28"/>
        </w:rPr>
        <w:t xml:space="preserve">ания», в соответствии с Федеральным </w:t>
      </w:r>
      <w:hyperlink r:id="rId11" w:tooltip="https://login.consultant.ru/link/?req=doc&amp;base=LAW&amp;n=353251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 2003 года</w:t>
      </w:r>
      <w:r>
        <w:rPr>
          <w:rFonts w:cs="Times New Roman"/>
          <w:sz w:val="28"/>
          <w:szCs w:val="28"/>
        </w:rPr>
        <w:t xml:space="preserve"> № 131-ФЗ «Об общих принципах организации местног</w:t>
      </w:r>
      <w:r>
        <w:rPr>
          <w:rFonts w:cs="Times New Roman"/>
          <w:sz w:val="28"/>
          <w:szCs w:val="28"/>
        </w:rPr>
        <w:t xml:space="preserve">о самоуправления в Российской Федерации», Порядком организации и проведения публичных слушаний в </w:t>
      </w:r>
      <w:r>
        <w:rPr>
          <w:rFonts w:cs="Times New Roman"/>
          <w:sz w:val="28"/>
          <w:szCs w:val="28"/>
          <w:highlight w:val="white"/>
        </w:rPr>
        <w:t xml:space="preserve">Ладомировском</w:t>
      </w:r>
      <w:r>
        <w:rPr>
          <w:rFonts w:cs="Times New Roman"/>
          <w:sz w:val="28"/>
          <w:szCs w:val="28"/>
          <w:highlight w:val="white"/>
        </w:rPr>
        <w:t xml:space="preserve"> сельском поселении </w:t>
      </w:r>
      <w:r>
        <w:rPr>
          <w:rFonts w:cs="Times New Roman"/>
          <w:sz w:val="28"/>
          <w:szCs w:val="28"/>
          <w:highlight w:val="white"/>
        </w:rPr>
        <w:t xml:space="preserve">Ровеньского</w:t>
      </w:r>
      <w:r>
        <w:rPr>
          <w:rFonts w:cs="Times New Roman"/>
          <w:sz w:val="28"/>
          <w:szCs w:val="28"/>
          <w:highlight w:val="white"/>
        </w:rPr>
        <w:t xml:space="preserve"> района, утвержденным решением земского собрания </w:t>
      </w:r>
      <w:r>
        <w:rPr>
          <w:rFonts w:cs="Times New Roman"/>
          <w:sz w:val="28"/>
          <w:szCs w:val="28"/>
          <w:highlight w:val="white"/>
        </w:rPr>
        <w:t xml:space="preserve">Ладомировского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sz w:val="28"/>
          <w:szCs w:val="28"/>
        </w:rPr>
        <w:t xml:space="preserve">сельского поселения от 15 ноября</w:t>
      </w:r>
      <w:r>
        <w:rPr>
          <w:rFonts w:cs="Times New Roman"/>
          <w:sz w:val="28"/>
          <w:szCs w:val="28"/>
        </w:rPr>
        <w:t xml:space="preserve"> 2021 года №86, рук</w:t>
      </w:r>
      <w:r>
        <w:rPr>
          <w:rFonts w:cs="Times New Roman"/>
          <w:sz w:val="28"/>
          <w:szCs w:val="28"/>
        </w:rPr>
        <w:t xml:space="preserve">оводствуясь Уставом </w:t>
      </w:r>
      <w:r>
        <w:rPr>
          <w:rFonts w:cs="Times New Roman"/>
          <w:sz w:val="28"/>
          <w:szCs w:val="28"/>
        </w:rPr>
        <w:t xml:space="preserve">Ладомировского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cs="Times New Roman"/>
          <w:sz w:val="28"/>
          <w:szCs w:val="28"/>
        </w:rPr>
        <w:t xml:space="preserve">Ровеньский</w:t>
      </w:r>
      <w:r>
        <w:rPr>
          <w:rFonts w:cs="Times New Roman"/>
          <w:sz w:val="28"/>
          <w:szCs w:val="28"/>
        </w:rPr>
        <w:t xml:space="preserve"> район» Белгородской области,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 xml:space="preserve">Земское собрание </w:t>
      </w:r>
      <w:r>
        <w:rPr>
          <w:rFonts w:cs="Times New Roman"/>
          <w:b/>
          <w:sz w:val="28"/>
          <w:szCs w:val="28"/>
        </w:rPr>
        <w:t xml:space="preserve">Ладомировского</w:t>
      </w:r>
      <w:r>
        <w:rPr>
          <w:rFonts w:cs="Times New Roman"/>
          <w:b/>
          <w:sz w:val="28"/>
          <w:szCs w:val="28"/>
        </w:rPr>
        <w:t xml:space="preserve"> сельского поселения </w:t>
      </w:r>
      <w:r>
        <w:rPr>
          <w:rFonts w:cs="Times New Roman"/>
          <w:b/>
          <w:sz w:val="28"/>
          <w:szCs w:val="28"/>
        </w:rPr>
        <w:t xml:space="preserve">Р</w:t>
      </w:r>
      <w:r>
        <w:rPr>
          <w:rFonts w:cs="Times New Roman"/>
          <w:b/>
          <w:sz w:val="28"/>
          <w:szCs w:val="28"/>
        </w:rPr>
        <w:t xml:space="preserve"> Е Ш И Л О:</w:t>
      </w:r>
      <w:r/>
    </w:p>
    <w:p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преобразовании поселени</w:t>
      </w:r>
      <w:r>
        <w:rPr>
          <w:rFonts w:cs="Times New Roman"/>
          <w:sz w:val="28"/>
          <w:szCs w:val="28"/>
        </w:rPr>
        <w:t xml:space="preserve">я, входящего в состав муниципального района «</w:t>
      </w:r>
      <w:r>
        <w:rPr>
          <w:rFonts w:cs="Times New Roman"/>
          <w:sz w:val="28"/>
          <w:szCs w:val="28"/>
        </w:rPr>
        <w:t xml:space="preserve">Ровеньский</w:t>
      </w:r>
      <w:r>
        <w:rPr>
          <w:rFonts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</w:t>
      </w:r>
      <w:r>
        <w:rPr>
          <w:rFonts w:cs="Times New Roman"/>
          <w:sz w:val="28"/>
          <w:szCs w:val="28"/>
        </w:rPr>
        <w:t xml:space="preserve">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rPr>
          <w:rFonts w:cs="Times New Roman"/>
          <w:sz w:val="28"/>
          <w:highlight w:val="white"/>
        </w:rPr>
      </w:pPr>
      <w:r>
        <w:rPr>
          <w:rFonts w:cs="Times New Roman"/>
          <w:sz w:val="28"/>
          <w:szCs w:val="28"/>
        </w:rPr>
        <w:t xml:space="preserve">Определить место п</w:t>
      </w:r>
      <w:r>
        <w:rPr>
          <w:rFonts w:cs="Times New Roman"/>
          <w:sz w:val="28"/>
          <w:szCs w:val="28"/>
        </w:rPr>
        <w:t xml:space="preserve">роведения публичных слушаний: </w:t>
      </w:r>
      <w:r>
        <w:rPr>
          <w:rFonts w:cs="Times New Roman"/>
          <w:sz w:val="28"/>
          <w:szCs w:val="28"/>
        </w:rPr>
        <w:t xml:space="preserve">Белгородская</w:t>
      </w:r>
      <w:r>
        <w:rPr>
          <w:rFonts w:cs="Times New Roman"/>
          <w:sz w:val="28"/>
          <w:szCs w:val="28"/>
        </w:rPr>
        <w:t xml:space="preserve"> обл., </w:t>
      </w:r>
      <w:r>
        <w:rPr>
          <w:rFonts w:cs="Times New Roman"/>
          <w:sz w:val="28"/>
          <w:szCs w:val="28"/>
        </w:rPr>
        <w:t xml:space="preserve">Ровеньский</w:t>
      </w:r>
      <w:r>
        <w:rPr>
          <w:rFonts w:cs="Times New Roman"/>
          <w:sz w:val="28"/>
          <w:szCs w:val="28"/>
        </w:rPr>
        <w:t xml:space="preserve"> р-</w:t>
      </w:r>
      <w:r>
        <w:rPr>
          <w:rFonts w:cs="Times New Roman"/>
          <w:sz w:val="28"/>
          <w:szCs w:val="28"/>
          <w:highlight w:val="white"/>
        </w:rPr>
        <w:t xml:space="preserve">н, </w:t>
      </w:r>
      <w:r>
        <w:rPr>
          <w:rFonts w:cs="Times New Roman"/>
          <w:sz w:val="28"/>
          <w:szCs w:val="28"/>
          <w:highlight w:val="white"/>
        </w:rPr>
        <w:t xml:space="preserve">с. </w:t>
      </w:r>
      <w:r>
        <w:rPr>
          <w:rFonts w:cs="Times New Roman"/>
          <w:sz w:val="28"/>
          <w:szCs w:val="28"/>
          <w:highlight w:val="white"/>
        </w:rPr>
        <w:t xml:space="preserve">Ладомировка</w:t>
      </w:r>
      <w:r>
        <w:rPr>
          <w:rFonts w:cs="Times New Roman"/>
          <w:sz w:val="28"/>
          <w:szCs w:val="28"/>
          <w:highlight w:val="white"/>
        </w:rPr>
        <w:t xml:space="preserve">, ул. Школьная, д. 14. </w:t>
      </w:r>
      <w:r>
        <w:rPr>
          <w:highlight w:val="white"/>
        </w:rPr>
      </w:r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 Создать и утвердить рабочую группу рабочую группу по проведению публичных слушаний в следующем составе:</w:t>
      </w:r>
      <w:r/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Злобина Любовь Митрофановна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Ладомировского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</w:t>
            </w:r>
            <w:r>
              <w:rPr>
                <w:rFonts w:cs="Times New Roman"/>
                <w:sz w:val="28"/>
                <w:szCs w:val="28"/>
              </w:rPr>
              <w:t xml:space="preserve">п</w:t>
            </w:r>
            <w:r>
              <w:rPr>
                <w:rFonts w:cs="Times New Roman"/>
                <w:sz w:val="28"/>
                <w:szCs w:val="28"/>
              </w:rPr>
              <w:t xml:space="preserve">редседательствующий на публичных слушаниях  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Бабич Алена Алексеевна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Ладомировского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секретарь рабочей группы,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Члены рабочей группы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Павленко Гали</w:t>
            </w:r>
            <w:r>
              <w:rPr>
                <w:rFonts w:cs="Times New Roman"/>
                <w:sz w:val="28"/>
                <w:szCs w:val="28"/>
              </w:rPr>
              <w:t xml:space="preserve">на Валентиновна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</w:t>
            </w:r>
            <w:r>
              <w:rPr>
                <w:rFonts w:cs="Times New Roman"/>
                <w:sz w:val="28"/>
                <w:szCs w:val="28"/>
              </w:rPr>
              <w:t xml:space="preserve">епутат земского собрания </w:t>
            </w:r>
            <w:r>
              <w:rPr>
                <w:rFonts w:cs="Times New Roman"/>
                <w:sz w:val="28"/>
                <w:szCs w:val="28"/>
              </w:rPr>
              <w:t xml:space="preserve">Ладомировского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Дерипаско</w:t>
            </w:r>
            <w:r>
              <w:rPr>
                <w:rFonts w:cs="Times New Roman"/>
                <w:sz w:val="28"/>
                <w:szCs w:val="28"/>
              </w:rPr>
              <w:t xml:space="preserve"> Сергей Вячеславович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Ладомировского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</w:t>
      </w:r>
      <w:r>
        <w:rPr>
          <w:rFonts w:cs="Times New Roman"/>
          <w:sz w:val="28"/>
          <w:szCs w:val="28"/>
        </w:rPr>
        <w:t xml:space="preserve">ания, с 29 октября по 19 ноября 2024 года в следующем виде: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  <w:highlight w:val="white"/>
        </w:rPr>
        <w:t xml:space="preserve">2) официальн</w:t>
      </w:r>
      <w:r>
        <w:rPr>
          <w:rFonts w:cs="Times New Roman"/>
          <w:sz w:val="28"/>
          <w:szCs w:val="28"/>
          <w:highlight w:val="white"/>
        </w:rPr>
        <w:t xml:space="preserve">ого сайта органов местного самоуправления </w:t>
      </w:r>
      <w:r>
        <w:rPr>
          <w:rFonts w:cs="Times New Roman"/>
          <w:sz w:val="28"/>
          <w:szCs w:val="28"/>
          <w:highlight w:val="white"/>
        </w:rPr>
        <w:t xml:space="preserve">Ладомировского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r>
        <w:rPr>
          <w:rFonts w:cs="Times New Roman"/>
          <w:sz w:val="28"/>
          <w:szCs w:val="28"/>
          <w:highlight w:val="white"/>
        </w:rPr>
        <w:t xml:space="preserve">Ровеньский</w:t>
      </w:r>
      <w:r>
        <w:rPr>
          <w:rFonts w:cs="Times New Roman"/>
          <w:sz w:val="28"/>
          <w:szCs w:val="28"/>
          <w:highlight w:val="white"/>
        </w:rPr>
        <w:t xml:space="preserve"> район» Белгородской области в информационно-телекоммуникационной сети </w:t>
      </w:r>
      <w:r>
        <w:rPr>
          <w:rFonts w:cs="Times New Roman"/>
          <w:sz w:val="28"/>
          <w:szCs w:val="28"/>
          <w:highlight w:val="white"/>
        </w:rPr>
        <w:t xml:space="preserve">«Интернет»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https://vk.com/away.php?to=https%3A%2F%2Fladomirovka.gosuslugi.r</w:t>
      </w:r>
      <w:r>
        <w:rPr>
          <w:rFonts w:cs="Times New Roman"/>
          <w:sz w:val="28"/>
          <w:szCs w:val="28"/>
          <w:highlight w:val="white"/>
        </w:rPr>
        <w:t xml:space="preserve">u%2Fofitsialno%2Fdokumenty%2F&amp;cc_key=</w:t>
      </w:r>
      <w:r>
        <w:rPr>
          <w:rFonts w:cs="Times New Roman"/>
          <w:sz w:val="28"/>
          <w:szCs w:val="28"/>
          <w:highlight w:val="white"/>
        </w:rPr>
        <w:t xml:space="preserve">): раздел</w:t>
      </w:r>
      <w:r>
        <w:rPr>
          <w:rFonts w:cs="Times New Roman"/>
          <w:sz w:val="28"/>
          <w:szCs w:val="28"/>
        </w:rPr>
        <w:t xml:space="preserve"> Деятельность – подраздел – «Публичные слушания»;</w:t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3) направления письма по адресу: Белгородская обл., </w:t>
      </w:r>
      <w:r>
        <w:rPr>
          <w:rFonts w:cs="Times New Roman" w:eastAsia="Times New Roman"/>
          <w:sz w:val="28"/>
          <w:szCs w:val="28"/>
        </w:rPr>
        <w:t xml:space="preserve">Ровеньский</w:t>
      </w:r>
      <w:r>
        <w:rPr>
          <w:rFonts w:cs="Times New Roman" w:eastAsia="Times New Roman"/>
          <w:sz w:val="28"/>
          <w:szCs w:val="28"/>
        </w:rPr>
        <w:t xml:space="preserve"> р-н, с. </w:t>
      </w:r>
      <w:r>
        <w:rPr>
          <w:rFonts w:cs="Times New Roman" w:eastAsia="Times New Roman"/>
          <w:sz w:val="28"/>
          <w:szCs w:val="28"/>
        </w:rPr>
        <w:t xml:space="preserve">Ладомировка</w:t>
      </w:r>
      <w:r>
        <w:rPr>
          <w:rFonts w:cs="Times New Roman" w:eastAsia="Times New Roman"/>
          <w:sz w:val="28"/>
          <w:szCs w:val="28"/>
        </w:rPr>
        <w:t xml:space="preserve">, ул. Центральная, д. 2,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 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 часов и с 13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+74723838645, электронная почта </w:t>
      </w:r>
      <w:r>
        <w:rPr>
          <w:rFonts w:cs="Times New Roman" w:eastAsia="Times New Roman"/>
          <w:color w:val="333333"/>
          <w:sz w:val="28"/>
          <w:highlight w:val="white"/>
        </w:rPr>
        <w:t xml:space="preserve"> </w:t>
      </w:r>
      <w:hyperlink r:id="rId12" w:tooltip="mailto:ladomirovka@ro.belregion.ru" w:history="1"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</w:rPr>
          <w:t xml:space="preserve">ladomirovka</w:t>
        </w:r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  <w:lang w:val="ru-RU"/>
          </w:rPr>
          <w:t xml:space="preserve">@</w:t>
        </w:r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</w:rPr>
          <w:t xml:space="preserve">ro</w:t>
        </w:r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  <w:lang w:val="ru-RU"/>
          </w:rPr>
          <w:t xml:space="preserve">.</w:t>
        </w:r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</w:rPr>
          <w:t xml:space="preserve">belregion</w:t>
        </w:r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  <w:lang w:val="ru-RU"/>
          </w:rPr>
          <w:t xml:space="preserve">.</w:t>
        </w:r>
        <w:r>
          <w:rPr>
            <w:rStyle w:val="781"/>
            <w:rFonts w:cs="Times New Roman" w:eastAsia="Times New Roman"/>
            <w:color w:val="000000"/>
            <w:sz w:val="28"/>
            <w:highlight w:val="white"/>
            <w:u w:val="none"/>
          </w:rPr>
          <w:t xml:space="preserve">ru</w:t>
        </w:r>
      </w:hyperlink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</w:t>
      </w:r>
      <w:r>
        <w:rPr>
          <w:rFonts w:cs="Times New Roman" w:eastAsia="Times New Roman"/>
          <w:sz w:val="28"/>
          <w:szCs w:val="28"/>
        </w:rPr>
        <w:t xml:space="preserve">) в устной форме в ходе проведения собрания участников публичных слушаний.</w:t>
      </w:r>
      <w:r/>
    </w:p>
    <w:p>
      <w:pPr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  <w:r>
        <w:rPr>
          <w:highlight w:val="white"/>
        </w:rPr>
      </w:r>
      <w:r/>
    </w:p>
    <w:p>
      <w:pPr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</w:t>
      </w:r>
      <w:r>
        <w:rPr>
          <w:rFonts w:cs="Times New Roman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публиковать настоящее решение в сетевом издании «</w:t>
      </w:r>
      <w:r>
        <w:rPr>
          <w:sz w:val="28"/>
          <w:szCs w:val="28"/>
          <w:highlight w:val="white"/>
        </w:rPr>
        <w:t xml:space="preserve">Ровеньская</w:t>
      </w:r>
      <w:r>
        <w:rPr>
          <w:sz w:val="28"/>
          <w:szCs w:val="28"/>
          <w:highlight w:val="white"/>
        </w:rPr>
        <w:t xml:space="preserve"> нива»</w:t>
      </w:r>
      <w:r>
        <w:rPr>
          <w:rFonts w:cs="Times New Roman"/>
          <w:sz w:val="28"/>
          <w:szCs w:val="28"/>
          <w:highlight w:val="white"/>
        </w:rPr>
        <w:t xml:space="preserve"> (</w:t>
      </w:r>
      <w:r>
        <w:rPr>
          <w:rFonts w:cs="Times New Roman"/>
          <w:sz w:val="28"/>
          <w:szCs w:val="28"/>
          <w:highlight w:val="white"/>
        </w:rPr>
        <w:t xml:space="preserve">https://niva1931.ru) в порядке, предусмотренном Уставом </w:t>
      </w:r>
      <w:r>
        <w:rPr>
          <w:rFonts w:cs="Times New Roman"/>
          <w:sz w:val="28"/>
          <w:szCs w:val="28"/>
          <w:highlight w:val="white"/>
        </w:rPr>
        <w:t xml:space="preserve">Ладомировского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cs="Times New Roman"/>
          <w:color w:val="FF0000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</w:t>
      </w:r>
      <w:r>
        <w:rPr>
          <w:rFonts w:cs="Times New Roman"/>
          <w:sz w:val="28"/>
          <w:szCs w:val="28"/>
          <w:highlight w:val="white"/>
        </w:rPr>
        <w:t xml:space="preserve">в порядке, предусмотренном Уставом </w:t>
      </w:r>
      <w:r>
        <w:rPr>
          <w:rFonts w:cs="Times New Roman"/>
          <w:sz w:val="28"/>
          <w:szCs w:val="28"/>
          <w:highlight w:val="white"/>
        </w:rPr>
        <w:t xml:space="preserve">Ладомировского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</w:t>
      </w:r>
      <w:r>
        <w:rPr>
          <w:rFonts w:cs="Times New Roman"/>
          <w:sz w:val="28"/>
          <w:szCs w:val="28"/>
          <w:highlight w:val="white"/>
        </w:rPr>
        <w:t xml:space="preserve">и разместить на официальном сайте органов местного самоуправления </w:t>
      </w:r>
      <w:r>
        <w:rPr>
          <w:rFonts w:cs="Times New Roman"/>
          <w:sz w:val="28"/>
          <w:szCs w:val="28"/>
          <w:highlight w:val="white"/>
        </w:rPr>
        <w:t xml:space="preserve">Ладомировского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r>
        <w:rPr>
          <w:rFonts w:cs="Times New Roman"/>
          <w:sz w:val="28"/>
          <w:szCs w:val="28"/>
          <w:highlight w:val="white"/>
        </w:rPr>
        <w:t xml:space="preserve">Ровеньский</w:t>
      </w:r>
      <w:r>
        <w:rPr>
          <w:rFonts w:cs="Times New Roman"/>
          <w:sz w:val="28"/>
          <w:szCs w:val="28"/>
          <w:highlight w:val="white"/>
        </w:rPr>
        <w:t xml:space="preserve"> район» Белгородской области </w:t>
      </w:r>
      <w:r>
        <w:rPr>
          <w:rFonts w:cs="Times New Roman"/>
          <w:sz w:val="28"/>
          <w:szCs w:val="28"/>
          <w:highlight w:val="white"/>
        </w:rPr>
        <w:t xml:space="preserve">(http</w:t>
      </w:r>
      <w:r>
        <w:rPr>
          <w:rFonts w:cs="Times New Roman"/>
          <w:sz w:val="28"/>
          <w:szCs w:val="28"/>
          <w:highlight w:val="white"/>
        </w:rPr>
        <w:t xml:space="preserve">s://ladomirovka.gosuslugi.ru).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Контроль за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исполнением настоящего решения возложить на председателя земского собрания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Ладомировского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Ровеньского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района Л. М. Злобину.</w:t>
      </w:r>
      <w:r>
        <w:rPr>
          <w:highlight w:val="white"/>
        </w:rPr>
      </w:r>
      <w:r/>
    </w:p>
    <w:p>
      <w:pPr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Ладомировского</w:t>
      </w:r>
      <w:r>
        <w:rPr>
          <w:rFonts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Л. М. Злобина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 w:customStyle="1">
    <w:name w:val="Заголовок"/>
    <w:basedOn w:val="642"/>
    <w:next w:val="834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Title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41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2">
    <w:name w:val="Quote"/>
    <w:qFormat/>
    <w:uiPriority w:val="29"/>
    <w:rPr>
      <w:i/>
    </w:rPr>
    <w:pPr>
      <w:ind w:left="720" w:right="720"/>
    </w:pPr>
  </w:style>
  <w:style w:type="paragraph" w:styleId="843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4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6">
    <w:name w:val="footnote text"/>
    <w:uiPriority w:val="99"/>
    <w:semiHidden/>
    <w:unhideWhenUsed/>
    <w:rPr>
      <w:sz w:val="18"/>
    </w:rPr>
    <w:pPr>
      <w:spacing w:after="40"/>
    </w:pPr>
  </w:style>
  <w:style w:type="paragraph" w:styleId="847">
    <w:name w:val="endnote text"/>
    <w:uiPriority w:val="99"/>
    <w:semiHidden/>
    <w:unhideWhenUsed/>
    <w:rPr>
      <w:sz w:val="20"/>
    </w:rPr>
  </w:style>
  <w:style w:type="paragraph" w:styleId="848">
    <w:name w:val="toc 1"/>
    <w:uiPriority w:val="39"/>
    <w:unhideWhenUsed/>
    <w:pPr>
      <w:spacing w:after="57"/>
    </w:pPr>
  </w:style>
  <w:style w:type="paragraph" w:styleId="849">
    <w:name w:val="toc 2"/>
    <w:uiPriority w:val="39"/>
    <w:unhideWhenUsed/>
    <w:pPr>
      <w:ind w:left="283"/>
      <w:spacing w:after="57"/>
    </w:pPr>
  </w:style>
  <w:style w:type="paragraph" w:styleId="850">
    <w:name w:val="toc 3"/>
    <w:uiPriority w:val="39"/>
    <w:unhideWhenUsed/>
    <w:pPr>
      <w:ind w:left="567"/>
      <w:spacing w:after="57"/>
    </w:pPr>
  </w:style>
  <w:style w:type="paragraph" w:styleId="851">
    <w:name w:val="toc 4"/>
    <w:uiPriority w:val="39"/>
    <w:unhideWhenUsed/>
    <w:pPr>
      <w:ind w:left="850"/>
      <w:spacing w:after="57"/>
    </w:pPr>
  </w:style>
  <w:style w:type="paragraph" w:styleId="852">
    <w:name w:val="toc 5"/>
    <w:uiPriority w:val="39"/>
    <w:unhideWhenUsed/>
    <w:pPr>
      <w:ind w:left="1134"/>
      <w:spacing w:after="57"/>
    </w:pPr>
  </w:style>
  <w:style w:type="paragraph" w:styleId="853">
    <w:name w:val="toc 6"/>
    <w:uiPriority w:val="39"/>
    <w:unhideWhenUsed/>
    <w:pPr>
      <w:ind w:left="1417"/>
      <w:spacing w:after="57"/>
    </w:pPr>
  </w:style>
  <w:style w:type="paragraph" w:styleId="854">
    <w:name w:val="toc 7"/>
    <w:uiPriority w:val="39"/>
    <w:unhideWhenUsed/>
    <w:pPr>
      <w:ind w:left="1701"/>
      <w:spacing w:after="57"/>
    </w:pPr>
  </w:style>
  <w:style w:type="paragraph" w:styleId="855">
    <w:name w:val="toc 8"/>
    <w:uiPriority w:val="39"/>
    <w:unhideWhenUsed/>
    <w:pPr>
      <w:ind w:left="1984"/>
      <w:spacing w:after="57"/>
    </w:pPr>
  </w:style>
  <w:style w:type="paragraph" w:styleId="856">
    <w:name w:val="toc 9"/>
    <w:uiPriority w:val="39"/>
    <w:unhideWhenUsed/>
    <w:pPr>
      <w:ind w:left="2268"/>
      <w:spacing w:after="57"/>
    </w:pPr>
  </w:style>
  <w:style w:type="paragraph" w:styleId="857">
    <w:name w:val="TOC Heading"/>
    <w:qFormat/>
    <w:uiPriority w:val="39"/>
    <w:unhideWhenUsed/>
  </w:style>
  <w:style w:type="paragraph" w:styleId="858">
    <w:name w:val="table of figures"/>
    <w:qFormat/>
    <w:uiPriority w:val="99"/>
    <w:unhideWhenUsed/>
  </w:style>
  <w:style w:type="paragraph" w:styleId="859" w:customStyle="1">
    <w:name w:val="Указатель2"/>
    <w:basedOn w:val="642"/>
    <w:qFormat/>
  </w:style>
  <w:style w:type="paragraph" w:styleId="860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1" w:customStyle="1">
    <w:name w:val="Указатель1"/>
    <w:basedOn w:val="642"/>
    <w:qFormat/>
  </w:style>
  <w:style w:type="paragraph" w:styleId="862" w:customStyle="1">
    <w:name w:val="Основной текст 31"/>
    <w:basedOn w:val="642"/>
    <w:qFormat/>
    <w:rPr>
      <w:sz w:val="28"/>
    </w:rPr>
  </w:style>
  <w:style w:type="paragraph" w:styleId="863">
    <w:name w:val="Body Text Indent"/>
    <w:basedOn w:val="642"/>
    <w:rPr>
      <w:sz w:val="28"/>
    </w:rPr>
    <w:pPr>
      <w:ind w:firstLine="709"/>
    </w:pPr>
  </w:style>
  <w:style w:type="paragraph" w:styleId="864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5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6" w:customStyle="1">
    <w:name w:val="ConsPlusNormal"/>
    <w:qFormat/>
    <w:rPr>
      <w:sz w:val="28"/>
      <w:szCs w:val="28"/>
    </w:rPr>
  </w:style>
  <w:style w:type="paragraph" w:styleId="867" w:customStyle="1">
    <w:name w:val="Содержимое врезки"/>
    <w:basedOn w:val="642"/>
    <w:qFormat/>
  </w:style>
  <w:style w:type="paragraph" w:styleId="868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9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1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yperlink" Target="mailto:ladomirovka@ro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dc:language>ru-RU</dc:language>
  <cp:revision>5</cp:revision>
  <dcterms:created xsi:type="dcterms:W3CDTF">2024-10-18T09:51:00Z</dcterms:created>
  <dcterms:modified xsi:type="dcterms:W3CDTF">2024-10-25T08:19:41Z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