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2"/>
        <w:jc w:val="center"/>
        <w:rPr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tyle22"/>
        <w:widowControl w:val="false"/>
        <w:tabs>
          <w:tab w:val="clear" w:pos="708"/>
          <w:tab w:val="left" w:pos="4536" w:leader="none"/>
        </w:tabs>
        <w:rPr>
          <w:color w:val="000000"/>
          <w:lang w:val="en-US" w:bidi="en-US"/>
        </w:rPr>
      </w:pPr>
      <w:r>
        <w:rPr>
          <w:color w:val="000000"/>
          <w:lang w:val="en-US" w:bidi="en-US"/>
        </w:rPr>
      </w:r>
    </w:p>
    <w:p>
      <w:pPr>
        <w:pStyle w:val="Style22"/>
        <w:widowControl w:val="false"/>
        <w:jc w:val="center"/>
        <w:rPr/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Style22"/>
        <w:widowControl w:val="false"/>
        <w:jc w:val="center"/>
        <w:rPr/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Style22"/>
        <w:widowControl w:val="false"/>
        <w:jc w:val="center"/>
        <w:rPr/>
      </w:pPr>
      <w:r>
        <w:rPr>
          <w:sz w:val="28"/>
        </w:rPr>
        <w:t>БЕЛГОРОДСКОЙ ОБЛАСТИ</w:t>
      </w:r>
    </w:p>
    <w:p>
      <w:pPr>
        <w:pStyle w:val="Style22"/>
        <w:widowControl w:val="false"/>
        <w:jc w:val="center"/>
        <w:rPr/>
      </w:pPr>
      <w:r>
        <w:rPr/>
      </w:r>
    </w:p>
    <w:p>
      <w:pPr>
        <w:pStyle w:val="Style22"/>
        <w:widowControl w:val="false"/>
        <w:rPr/>
      </w:pPr>
      <w:r>
        <w:rPr/>
      </w:r>
    </w:p>
    <w:p>
      <w:pPr>
        <w:pStyle w:val="Style22"/>
        <w:jc w:val="center"/>
        <w:rPr>
          <w:rFonts w:eastAsia="Calibri"/>
        </w:rPr>
      </w:pPr>
      <w:r>
        <w:rPr>
          <w:rFonts w:eastAsia="Calibri"/>
          <w:b/>
          <w:sz w:val="28"/>
          <w:szCs w:val="28"/>
        </w:rPr>
        <w:t>Р Е Ш Е Н И Е</w:t>
      </w:r>
    </w:p>
    <w:p>
      <w:pPr>
        <w:pStyle w:val="Style22"/>
        <w:spacing w:lineRule="atLeast" w:line="102" w:beforeAutospacing="1" w:after="198"/>
        <w:rPr/>
      </w:pPr>
      <w:r>
        <w:rPr>
          <w:sz w:val="28"/>
          <w:szCs w:val="28"/>
        </w:rPr>
        <w:t>«28»  ноября  2025 года</w:t>
        <w:tab/>
        <w:tab/>
        <w:tab/>
        <w:tab/>
        <w:tab/>
        <w:tab/>
        <w:tab/>
        <w:t xml:space="preserve">                 № 4/84</w:t>
      </w:r>
    </w:p>
    <w:p>
      <w:pPr>
        <w:pStyle w:val="Style22"/>
        <w:ind w:right="4534"/>
        <w:jc w:val="both"/>
        <w:rPr>
          <w:lang w:eastAsia="zh-CN"/>
        </w:rPr>
      </w:pPr>
      <w:r>
        <w:rPr>
          <w:lang w:eastAsia="zh-CN"/>
        </w:rPr>
      </w:r>
    </w:p>
    <w:p>
      <w:pPr>
        <w:pStyle w:val="Style22"/>
        <w:ind w:right="4534"/>
        <w:jc w:val="both"/>
        <w:rPr>
          <w:lang w:eastAsia="zh-CN"/>
        </w:rPr>
      </w:pPr>
      <w:r>
        <w:rPr>
          <w:lang w:eastAsia="zh-CN"/>
        </w:rPr>
      </w:r>
    </w:p>
    <w:p>
      <w:pPr>
        <w:pStyle w:val="Style22"/>
        <w:ind w:right="-1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 премировании (материальном поощрении) выпускников общеобразовательных организаций Ровеньского муниципального округа Белгородской области, награжденных медалями «За особые успехи в учении» I и II степеней </w:t>
      </w:r>
    </w:p>
    <w:p>
      <w:pPr>
        <w:pStyle w:val="Style22"/>
        <w:ind w:right="-11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2"/>
        <w:ind w:right="-11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22"/>
        <w:ind w:firstLine="540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Российской Федерации от 29.12.2012г. № 273-ФЗ «Об образовании в Российской Федерации» и от 06.10.2003г. №33-ФЗ «Об общих принципах организации местного самоуправления в единой системе публичной власти», приказом Министерства просвещения РФ от 29.09.2023г. №730 «Об утверждении Порядка и условий выдачи медалей «За особые успехи в учении» I и II степеней», в целях материального поощрения выпускников муниципальных общеобразовательных учреждений Ровеньского муниципального округа  Белгородской области, награжденным медалью «За особые успехи в учении» I и II степеней,  Совет депутатов Ровеньского муниципального округа Белгородской области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>
      <w:pPr>
        <w:pStyle w:val="BodyText"/>
        <w:tabs>
          <w:tab w:val="clear" w:pos="708"/>
          <w:tab w:val="left" w:pos="993" w:leader="none"/>
          <w:tab w:val="left" w:pos="1276" w:leader="none"/>
        </w:tabs>
        <w:ind w:firstLine="567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1. Утвердить Положение о премировании (материальном поощрении) выпускников общеобразовательных учреждений Ровеньского муниципального округа  Белгородской области, награжденных медалью «За особые успехи в учении» I и II степеней (прилагается).</w:t>
      </w:r>
    </w:p>
    <w:p>
      <w:pPr>
        <w:pStyle w:val="Style28"/>
        <w:numPr>
          <w:ilvl w:val="0"/>
          <w:numId w:val="2"/>
        </w:numPr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 Управлению образования Администрации Ровеньского муниципального округа Белгородской области (Бекетова М.А.):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довести настоящее решение до сведения руководителей общеобразовательных учреждений Ровеньского муниципального округа Белгородской области;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обеспечить рассмотрение и утверждение списка для материального поощрения выпускников муниципальных общеобразовательных учреждений, награжденных медалью «За особые успехи в учении» I и II степеней;</w:t>
      </w:r>
    </w:p>
    <w:p>
      <w:pPr>
        <w:pStyle w:val="BodyText"/>
        <w:tabs>
          <w:tab w:val="clear" w:pos="708"/>
          <w:tab w:val="left" w:pos="284" w:leader="none"/>
          <w:tab w:val="left" w:pos="426" w:leader="none"/>
          <w:tab w:val="left" w:pos="1134" w:leader="none"/>
        </w:tabs>
        <w:ind w:firstLine="567" w:right="-2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2.3. осуществлять контроль за достоверностью данных, представляемых муниципальными общеобразовательными учреждениями Ровеньского муниципального округа Белгородской области для награждения учащихся медалью «За особые успехи в учении» I и II степеней.</w:t>
      </w:r>
    </w:p>
    <w:p>
      <w:pPr>
        <w:pStyle w:val="Style22"/>
        <w:ind w:firstLine="540" w:right="140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финансов бюджетной политики Администрации Ровеньского муниципального округа Белгородской области при формировании бюджета на следующий год и плановый период предусматривать расходы на поощрение обучающихся, проявивших выдающиеся способности.</w:t>
      </w:r>
    </w:p>
    <w:p>
      <w:pPr>
        <w:pStyle w:val="Style22"/>
        <w:ind w:firstLine="540" w:right="140"/>
        <w:jc w:val="both"/>
        <w:rPr/>
      </w:pPr>
      <w:r>
        <w:rPr>
          <w:b w:val="false"/>
          <w:sz w:val="28"/>
          <w:szCs w:val="28"/>
        </w:rPr>
        <w:t>4. Признать утратившим силу решение Муниципального совета Ровеньского района от 21 июня 2024 года № 10/73 «</w:t>
      </w:r>
      <w:r>
        <w:rPr>
          <w:b w:val="false"/>
          <w:sz w:val="28"/>
          <w:szCs w:val="28"/>
          <w:lang w:eastAsia="zh-CN"/>
        </w:rPr>
        <w:t xml:space="preserve">О премировании (материальном поощрении) выпускников общеобразовательных организаций Ровеньского района, награжденных медалями «За особые успехи в учении» </w:t>
      </w:r>
      <w:r>
        <w:rPr>
          <w:b w:val="false"/>
          <w:sz w:val="28"/>
          <w:szCs w:val="28"/>
        </w:rPr>
        <w:t xml:space="preserve">I и II </w:t>
      </w:r>
      <w:r>
        <w:rPr>
          <w:b w:val="false"/>
          <w:sz w:val="28"/>
          <w:szCs w:val="28"/>
          <w:lang w:eastAsia="zh-CN"/>
        </w:rPr>
        <w:t xml:space="preserve">степеней» в новой редакции» с 01.01.2026 года. </w:t>
      </w:r>
    </w:p>
    <w:p>
      <w:pPr>
        <w:pStyle w:val="Style22"/>
        <w:ind w:firstLine="540" w:right="140"/>
        <w:jc w:val="both"/>
        <w:rPr/>
      </w:pPr>
      <w:r>
        <w:rPr>
          <w:sz w:val="28"/>
          <w:szCs w:val="28"/>
        </w:rPr>
        <w:t xml:space="preserve">5. Опубликовать решение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 </w:t>
      </w:r>
      <w:r>
        <w:rPr>
          <w:color w:val="000000"/>
          <w:sz w:val="28"/>
          <w:szCs w:val="28"/>
        </w:rPr>
        <w:t>(</w:t>
      </w:r>
      <w:hyperlink r:id="rId3">
        <w:r>
          <w:rPr>
            <w:rStyle w:val="Hyperlink"/>
            <w:color w:val="000000"/>
            <w:sz w:val="28"/>
            <w:szCs w:val="28"/>
          </w:rPr>
          <w:t>https://rovenkiadm.gosuslugi.ru</w:t>
        </w:r>
      </w:hyperlink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>
      <w:pPr>
        <w:pStyle w:val="Style22"/>
        <w:ind w:firstLine="540" w:right="140"/>
        <w:jc w:val="both"/>
        <w:rPr/>
      </w:pPr>
      <w:r>
        <w:rPr>
          <w:sz w:val="28"/>
          <w:szCs w:val="28"/>
        </w:rPr>
        <w:t>6.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Контроль за выполнением решения возложить на постоянную комиссию Совета депутатов Ровеньского муниципального округа Белгородской области по вопросам </w:t>
      </w:r>
      <w:r>
        <w:rPr>
          <w:sz w:val="28"/>
          <w:szCs w:val="28"/>
        </w:rPr>
        <w:t>экономического развития, бюджету и налогам.</w:t>
      </w:r>
    </w:p>
    <w:p>
      <w:pPr>
        <w:pStyle w:val="Heading5"/>
        <w:spacing w:before="0" w:after="0"/>
        <w:ind w:hanging="0" w:left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Style22"/>
        <w:rPr>
          <w:lang w:eastAsia="en-US"/>
        </w:rPr>
      </w:pPr>
      <w:r>
        <w:rPr>
          <w:lang w:eastAsia="en-US"/>
        </w:rPr>
      </w:r>
    </w:p>
    <w:p>
      <w:pPr>
        <w:pStyle w:val="Heading5"/>
        <w:spacing w:before="0" w:after="0"/>
        <w:ind w:hanging="0" w:left="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Style22"/>
        <w:jc w:val="both"/>
        <w:rPr/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Style22"/>
        <w:jc w:val="both"/>
        <w:rPr/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Style22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     В. А. Некрасов          </w:t>
      </w:r>
    </w:p>
    <w:p>
      <w:pPr>
        <w:pStyle w:val="Style22"/>
        <w:jc w:val="both"/>
        <w:rPr/>
      </w:pPr>
      <w:r>
        <w:rPr/>
      </w:r>
    </w:p>
    <w:p>
      <w:pPr>
        <w:pStyle w:val="Style22"/>
        <w:jc w:val="both"/>
        <w:rPr/>
      </w:pPr>
      <w:r>
        <w:rPr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Style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Белгородской области                                                                     Т. В. Киричкова  </w:t>
      </w:r>
    </w:p>
    <w:p>
      <w:pPr>
        <w:pStyle w:val="Style22"/>
        <w:jc w:val="both"/>
        <w:rPr/>
      </w:pPr>
      <w:r>
        <w:rPr/>
      </w:r>
    </w:p>
    <w:p>
      <w:pPr>
        <w:pStyle w:val="Style22"/>
        <w:jc w:val="both"/>
        <w:rPr/>
      </w:pPr>
      <w:r>
        <w:rPr/>
      </w:r>
    </w:p>
    <w:p>
      <w:pPr>
        <w:pStyle w:val="Style22"/>
        <w:jc w:val="both"/>
        <w:rPr/>
      </w:pPr>
      <w:r>
        <w:rPr/>
      </w:r>
    </w:p>
    <w:p>
      <w:pPr>
        <w:pStyle w:val="Style22"/>
        <w:jc w:val="both"/>
        <w:rPr/>
      </w:pPr>
      <w:r>
        <w:rPr/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yle22"/>
        <w:tabs>
          <w:tab w:val="clear" w:pos="708"/>
          <w:tab w:val="left" w:pos="993" w:leader="none"/>
        </w:tabs>
        <w:spacing w:before="0" w:after="0"/>
        <w:ind w:left="55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Style22"/>
        <w:tabs>
          <w:tab w:val="clear" w:pos="708"/>
          <w:tab w:val="left" w:pos="993" w:leader="none"/>
        </w:tabs>
        <w:spacing w:before="0" w:after="0"/>
        <w:ind w:left="5103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Ровеньского муниципального округа Белгородской области </w:t>
      </w:r>
    </w:p>
    <w:p>
      <w:pPr>
        <w:pStyle w:val="Style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28.11.2025г. №4/84</w:t>
      </w:r>
    </w:p>
    <w:p>
      <w:pPr>
        <w:pStyle w:val="Style28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</w:r>
    </w:p>
    <w:p>
      <w:pPr>
        <w:pStyle w:val="Style2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>
      <w:pPr>
        <w:pStyle w:val="Style2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премировании (материальном поощрении) выпускников общеобразовательных учреждений Ровеньского муниципального округа Белгородской области, награжденных медалью «За особые успехи в учении» I и II степеней</w:t>
      </w:r>
    </w:p>
    <w:p>
      <w:pPr>
        <w:pStyle w:val="Style28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Style28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Style2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Положение о премировании (материальном поощрении) выпускников общеобразовательных учреждений Ровеньского муниципального округа Белгородской области, награжденных медалью «За особые успехи в учении» I и II степеней, (далее – Положение) разработано в соответствии с: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Федеральным законом Российской Федерации от 29.12.2012г. № 273-ФЗ «Об образовании в Российской Федерации»;</w:t>
      </w:r>
    </w:p>
    <w:p>
      <w:pPr>
        <w:pStyle w:val="Style22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Приказом Министерства просвещения РФ от 29.09.2023г. № 730 «Об утверждении Порядка и условий выдачи медалей «За особые успехи в учении» I и II степеней</w:t>
      </w:r>
      <w:r>
        <w:rPr>
          <w:color w:val="000000"/>
          <w:sz w:val="28"/>
          <w:szCs w:val="28"/>
        </w:rPr>
        <w:t>.</w:t>
      </w:r>
    </w:p>
    <w:p>
      <w:pPr>
        <w:pStyle w:val="Style28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Style28"/>
        <w:ind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II. Цели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Настоящее Положение разработано в целях материального поощрения выпускников, проявивших трудолюбие, старание и упорство в овладении знаниями и награжденных медалью «За особые успехи в учении» I и II степеней.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Положение регламентирует условия материального поощрения выпускников общеобразовательных учреждений Ровеньского муниципального округа Белгородской области, награжденных медалью «За особые успехи в учении» I и II степеней.</w:t>
      </w:r>
    </w:p>
    <w:p>
      <w:pPr>
        <w:pStyle w:val="Style28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Style2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Условия и размер материального поощрения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К материальному поощрению представляются выпускники общеобразовательных учреждений Ровеньского муниципального округа Белгородской области, награжденные медалью «За особые успехи в учении» I и II степеней.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Материальное поощрение выпускников устанавливается в пределах утвержденных бюджетных ассигнований, в рамках муниципальной программы «Развитие образования Ровеньского района» и не зависит от количества выпускников-медалистов.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Выпускнику, завершившему освоение образовательных программ среднего общего образования и награжденному медалью «За особые успехи в учении» I степени, выплачивается денежное поощрение в размере 25 000 рублей.</w:t>
      </w:r>
    </w:p>
    <w:p>
      <w:pPr>
        <w:pStyle w:val="Style2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Выпускнику, завершившему освоение образовательных программ среднего общего образования и награжденному медалью «За особые успехи в учении» II  степени – 15 000 рублей. </w:t>
      </w:r>
    </w:p>
    <w:p>
      <w:pPr>
        <w:pStyle w:val="Style28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Материальное поощрение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выпускников общеобразовательных учреждений Ровеньского муниципального округа Белгородской области, награжденных медалью «За особые успехи в учении» I и II степеней, является доходом физических лиц, не подлежащим налогообложению в соответствии с п. 6.4) статьи 217 Налогового Кодекса Российской Федерации.</w:t>
      </w:r>
    </w:p>
    <w:p>
      <w:pPr>
        <w:pStyle w:val="Style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Порядок представления к материальному поощрению и выплаты материального поощрения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Для получения материального поощрения руководитель общеобразовательного учреждения Ровеньского муниципального округа Белгородской области направляет в управление образования Администрации Ровеньского муниципального округа Белгородской области: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ходатайство о премировании выпускника, награжденного медалью «За особые успехи в учении» I и II степеней;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приказ общеобразовательного учреждения Ровеньского муниципального округа Белгородской области о награждении медалью «За особые успехи в учении» I и II степеней;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копию паспорта или иного документа, удостоверяющего личность обучающегося;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свидетельства о постановке на учёт в налоговом органе;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свидетельства страхового номера индивидуального лицевого счета;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номер личного расчетного счета и реквизиты банка, где открыт счет выпускника (официальный документ банка);</w:t>
      </w:r>
    </w:p>
    <w:p>
      <w:pPr>
        <w:pStyle w:val="Style2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согласие на обработку персональных данных.</w:t>
      </w:r>
    </w:p>
    <w:p>
      <w:pPr>
        <w:pStyle w:val="Style2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Решение о материальном поощрении выпускников, награжденных медалью «За особые успехи в учении» I и II степеней, принимается на основании приказа общеобразовательного учреждения Ровенького муниципального округа Белгородской области о награждении медалью «За особые успехи в учении» I и II степеней и утверждается распоряжением Администрации Ровеньского муниципального округа Белгородской области.</w:t>
      </w:r>
    </w:p>
    <w:p>
      <w:pPr>
        <w:pStyle w:val="Style2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Материальное поощрение перечисляется управлением образования Администрации Ровеньского  муниципального округа Белгородской области на личные банковские расчетные счета выпускников, награжденных медалью «За особые успехи в учении» I и II степеней, в 14-дневный срок с момента принятия распоряжения Администрации Ровеньского муниципального округа Белгородской области о материальном поощрении данных выпускников.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Медаль «За особые успехи в учении» I и II степеней и материальное поощрение вручаются выпускнику в торжественной обстановке. </w:t>
      </w:r>
    </w:p>
    <w:p>
      <w:pPr>
        <w:pStyle w:val="Style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Источники финансирования материального поощрения</w:t>
      </w:r>
    </w:p>
    <w:p>
      <w:pPr>
        <w:pStyle w:val="Style22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Материальное поощрение производится в пределах ассигнований, предусмотренных в местном бюджете Ровеньского муниципального округа Белгородской области  на текущий год, в рамках муниципальной программы «Развитие образования Ровеньского района».</w:t>
      </w:r>
    </w:p>
    <w:p>
      <w:pPr>
        <w:pStyle w:val="Style22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380" w:right="716" w:gutter="0" w:header="0" w:top="851" w:footer="567" w:bottom="108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"/>
      <w:isLgl/>
      <w:numFmt w:val="decimal"/>
      <w:lvlText w:val="%1"/>
      <w:lvlJc w:val="left"/>
      <w:pPr>
        <w:tabs>
          <w:tab w:val="num" w:pos="0"/>
        </w:tabs>
        <w:ind w:left="107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79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51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323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95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67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39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611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83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Style20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Style20"/>
    <w:qFormat/>
    <w:pPr>
      <w:keepNext w:val="true"/>
      <w:keepLines/>
      <w:numPr>
        <w:ilvl w:val="1"/>
        <w:numId w:val="1"/>
      </w:numPr>
      <w:spacing w:before="360" w:after="200"/>
      <w:outlineLvl w:val="1"/>
    </w:pPr>
    <w:rPr>
      <w:rFonts w:ascii="Arial" w:hAnsi="Arial" w:eastAsia="Arial"/>
      <w:sz w:val="34"/>
    </w:rPr>
  </w:style>
  <w:style w:type="paragraph" w:styleId="Heading3">
    <w:name w:val="heading 3"/>
    <w:basedOn w:val="Style20"/>
    <w:qFormat/>
    <w:pPr>
      <w:keepNext w:val="true"/>
      <w:keepLines/>
      <w:numPr>
        <w:ilvl w:val="2"/>
        <w:numId w:val="1"/>
      </w:numPr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Heading4">
    <w:name w:val="heading 4"/>
    <w:basedOn w:val="Style20"/>
    <w:qFormat/>
    <w:pPr>
      <w:keepNext w:val="true"/>
      <w:keepLines/>
      <w:numPr>
        <w:ilvl w:val="3"/>
        <w:numId w:val="1"/>
      </w:numPr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Heading5">
    <w:name w:val="heading 5"/>
    <w:basedOn w:val="Style22"/>
    <w:qFormat/>
    <w:pPr>
      <w:keepNext w:val="true"/>
      <w:keepLines/>
      <w:numPr>
        <w:ilvl w:val="4"/>
        <w:numId w:val="1"/>
      </w:numPr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Heading6">
    <w:name w:val="heading 6"/>
    <w:basedOn w:val="Style20"/>
    <w:qFormat/>
    <w:pPr>
      <w:keepNext w:val="true"/>
      <w:keepLines/>
      <w:numPr>
        <w:ilvl w:val="5"/>
        <w:numId w:val="1"/>
      </w:numPr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Heading7">
    <w:name w:val="heading 7"/>
    <w:basedOn w:val="Style20"/>
    <w:qFormat/>
    <w:pPr>
      <w:keepNext w:val="true"/>
      <w:keepLines/>
      <w:numPr>
        <w:ilvl w:val="6"/>
        <w:numId w:val="1"/>
      </w:numPr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Heading8">
    <w:name w:val="heading 8"/>
    <w:basedOn w:val="Style20"/>
    <w:qFormat/>
    <w:pPr>
      <w:keepNext w:val="true"/>
      <w:keepLines/>
      <w:numPr>
        <w:ilvl w:val="7"/>
        <w:numId w:val="1"/>
      </w:numPr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Heading9">
    <w:name w:val="heading 9"/>
    <w:basedOn w:val="Style20"/>
    <w:qFormat/>
    <w:pPr>
      <w:keepNext w:val="true"/>
      <w:keepLines/>
      <w:numPr>
        <w:ilvl w:val="8"/>
        <w:numId w:val="1"/>
      </w:numPr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DefaultParagraphFont" w:default="1">
    <w:name w:val="Default Paragraph Font"/>
    <w:qFormat/>
    <w:rPr/>
  </w:style>
  <w:style w:type="character" w:styleId="11">
    <w:name w:val="Заголовок 1 Знак1"/>
    <w:qFormat/>
    <w:rPr>
      <w:rFonts w:ascii="Arial" w:hAnsi="Arial" w:eastAsia="Arial"/>
      <w:sz w:val="40"/>
      <w:szCs w:val="40"/>
    </w:rPr>
  </w:style>
  <w:style w:type="character" w:styleId="2">
    <w:name w:val="Заголовок 2 Знак"/>
    <w:qFormat/>
    <w:rPr>
      <w:rFonts w:ascii="Arial" w:hAnsi="Arial" w:eastAsia="Arial"/>
      <w:sz w:val="34"/>
    </w:rPr>
  </w:style>
  <w:style w:type="character" w:styleId="3">
    <w:name w:val="Заголовок 3 Знак"/>
    <w:qFormat/>
    <w:rPr>
      <w:rFonts w:ascii="Arial" w:hAnsi="Arial" w:eastAsia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/>
      <w:b/>
      <w:bCs/>
      <w:sz w:val="24"/>
      <w:szCs w:val="24"/>
    </w:rPr>
  </w:style>
  <w:style w:type="character" w:styleId="6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Style8">
    <w:name w:val="Название Знак"/>
    <w:qFormat/>
    <w:rPr>
      <w:sz w:val="48"/>
      <w:szCs w:val="48"/>
    </w:rPr>
  </w:style>
  <w:style w:type="character" w:styleId="Style9">
    <w:name w:val="Подзаголовок Знак"/>
    <w:qFormat/>
    <w:rPr>
      <w:sz w:val="24"/>
      <w:szCs w:val="24"/>
    </w:rPr>
  </w:style>
  <w:style w:type="character" w:styleId="21">
    <w:name w:val="Цитата 2 Знак"/>
    <w:qFormat/>
    <w:rPr>
      <w:i/>
    </w:rPr>
  </w:style>
  <w:style w:type="character" w:styleId="Style10">
    <w:name w:val="Выделенная цитата Знак"/>
    <w:qFormat/>
    <w:rPr>
      <w:i/>
    </w:rPr>
  </w:style>
  <w:style w:type="character" w:styleId="1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2">
    <w:name w:val="Нижний колонтитул Знак1"/>
    <w:qFormat/>
    <w:rPr/>
  </w:style>
  <w:style w:type="character" w:styleId="Style11">
    <w:name w:val="Гиперссылка"/>
    <w:qFormat/>
    <w:rPr>
      <w:color w:val="0000FF"/>
      <w:u w:val="single"/>
    </w:rPr>
  </w:style>
  <w:style w:type="character" w:styleId="Style12">
    <w:name w:val="Текст сноски Знак"/>
    <w:qFormat/>
    <w:rPr>
      <w:sz w:val="18"/>
    </w:rPr>
  </w:style>
  <w:style w:type="character" w:styleId="Style13">
    <w:name w:val="Знак сноски"/>
    <w:qFormat/>
    <w:rPr>
      <w:vertAlign w:val="superscript"/>
    </w:rPr>
  </w:style>
  <w:style w:type="character" w:styleId="Style14">
    <w:name w:val="Текст концевой сноски Знак"/>
    <w:qFormat/>
    <w:rPr>
      <w:sz w:val="20"/>
    </w:rPr>
  </w:style>
  <w:style w:type="character" w:styleId="Style15">
    <w:name w:val="Знак концевой сноски"/>
    <w:qFormat/>
    <w:rPr>
      <w:vertAlign w:val="superscript"/>
    </w:rPr>
  </w:style>
  <w:style w:type="character" w:styleId="Style16">
    <w:name w:val="Верхний колонтитул Знак"/>
    <w:basedOn w:val="DefaultParagraphFont"/>
    <w:qFormat/>
    <w:rPr/>
  </w:style>
  <w:style w:type="character" w:styleId="Style17">
    <w:name w:val="Основной текст Знак"/>
    <w:qFormat/>
    <w:rPr>
      <w:b/>
      <w:sz w:val="24"/>
    </w:rPr>
  </w:style>
  <w:style w:type="character" w:styleId="13">
    <w:name w:val="Заголовок 1 Знак"/>
    <w:qFormat/>
    <w:rPr>
      <w:b/>
      <w:sz w:val="28"/>
    </w:rPr>
  </w:style>
  <w:style w:type="character" w:styleId="Style18">
    <w:name w:val="Текст выноски Знак"/>
    <w:qFormat/>
    <w:rPr>
      <w:rFonts w:ascii="Tahoma" w:hAnsi="Tahoma"/>
      <w:sz w:val="16"/>
      <w:szCs w:val="16"/>
    </w:rPr>
  </w:style>
  <w:style w:type="character" w:styleId="PlaceholderText">
    <w:name w:val="Placeholder Text"/>
    <w:qFormat/>
    <w:rPr>
      <w:color w:val="808080"/>
    </w:rPr>
  </w:style>
  <w:style w:type="character" w:styleId="Style19">
    <w:name w:val="Нижний колонтитул Знак"/>
    <w:basedOn w:val="DefaultParagraphFont"/>
    <w:qFormat/>
    <w:rPr/>
  </w:style>
  <w:style w:type="character" w:styleId="14">
    <w:name w:val="Основной шрифт абзаца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22">
    <w:name w:val="Основной шрифт абзаца2"/>
    <w:qFormat/>
    <w:rPr/>
  </w:style>
  <w:style w:type="character" w:styleId="15">
    <w:name w:val="Текст выноски Знак1"/>
    <w:basedOn w:val="Style7"/>
    <w:semiHidden/>
    <w:qFormat/>
    <w:rPr>
      <w:rFonts w:ascii="Tahoma" w:hAnsi="Tahoma"/>
      <w:sz w:val="16"/>
      <w:szCs w:val="16"/>
    </w:rPr>
  </w:style>
  <w:style w:type="character" w:styleId="Heading5Char">
    <w:name w:val="Heading 5 Char"/>
    <w:qFormat/>
    <w:rPr>
      <w:rFonts w:ascii="Arial" w:hAnsi="Arial" w:eastAsia="Arial"/>
      <w:b/>
      <w:bCs/>
      <w:sz w:val="24"/>
      <w:szCs w:val="24"/>
      <w:lang w:eastAsia="en-US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Style22"/>
    <w:qFormat/>
    <w:pPr>
      <w:jc w:val="center"/>
    </w:pPr>
    <w:rPr>
      <w:b/>
      <w:sz w:val="24"/>
    </w:rPr>
  </w:style>
  <w:style w:type="paragraph" w:styleId="List">
    <w:name w:val="List"/>
    <w:basedOn w:val="BodyText"/>
    <w:qFormat/>
    <w:pPr/>
    <w:rPr/>
  </w:style>
  <w:style w:type="paragraph" w:styleId="Caption">
    <w:name w:val="caption"/>
    <w:basedOn w:val="Style22"/>
    <w:qFormat/>
    <w:pPr>
      <w:spacing w:before="300" w:after="200"/>
      <w:contextualSpacing/>
    </w:pPr>
    <w:rPr>
      <w:sz w:val="48"/>
      <w:szCs w:val="48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Style22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3">
    <w:name w:val="Указатель (user)"/>
    <w:basedOn w:val="user2"/>
    <w:qFormat/>
    <w:pPr/>
    <w:rPr/>
  </w:style>
  <w:style w:type="paragraph" w:styleId="Title">
    <w:name w:val="Title"/>
    <w:basedOn w:val="Style2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Style22"/>
    <w:qFormat/>
    <w:pPr>
      <w:spacing w:before="200" w:after="200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22"/>
    <w:qFormat/>
    <w:pPr>
      <w:tabs>
        <w:tab w:val="clear" w:pos="708"/>
        <w:tab w:val="center" w:pos="4703" w:leader="none"/>
        <w:tab w:val="right" w:pos="9406" w:leader="none"/>
      </w:tabs>
    </w:pPr>
    <w:rPr/>
  </w:style>
  <w:style w:type="paragraph" w:styleId="Footer">
    <w:name w:val="footer"/>
    <w:basedOn w:val="Style22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Style22"/>
    <w:qFormat/>
    <w:pPr>
      <w:spacing w:before="0" w:after="57"/>
    </w:pPr>
    <w:rPr/>
  </w:style>
  <w:style w:type="paragraph" w:styleId="TOC2">
    <w:name w:val="toc 2"/>
    <w:basedOn w:val="Style22"/>
    <w:qFormat/>
    <w:pPr>
      <w:spacing w:before="0" w:after="57"/>
      <w:ind w:hanging="0" w:left="283" w:right="0"/>
    </w:pPr>
    <w:rPr/>
  </w:style>
  <w:style w:type="paragraph" w:styleId="TOC3">
    <w:name w:val="toc 3"/>
    <w:basedOn w:val="Style22"/>
    <w:qFormat/>
    <w:pPr>
      <w:spacing w:before="0" w:after="57"/>
      <w:ind w:hanging="0" w:left="567" w:right="0"/>
    </w:pPr>
    <w:rPr/>
  </w:style>
  <w:style w:type="paragraph" w:styleId="TOC4">
    <w:name w:val="toc 4"/>
    <w:basedOn w:val="Style22"/>
    <w:qFormat/>
    <w:pPr>
      <w:spacing w:before="0" w:after="57"/>
      <w:ind w:hanging="0" w:left="850" w:right="0"/>
    </w:pPr>
    <w:rPr/>
  </w:style>
  <w:style w:type="paragraph" w:styleId="TOC5">
    <w:name w:val="toc 5"/>
    <w:basedOn w:val="Style22"/>
    <w:qFormat/>
    <w:pPr>
      <w:spacing w:before="0" w:after="57"/>
      <w:ind w:hanging="0" w:left="1134" w:right="0"/>
    </w:pPr>
    <w:rPr/>
  </w:style>
  <w:style w:type="paragraph" w:styleId="TOC6">
    <w:name w:val="toc 6"/>
    <w:basedOn w:val="Style22"/>
    <w:qFormat/>
    <w:pPr>
      <w:spacing w:before="0" w:after="57"/>
      <w:ind w:hanging="0" w:left="1417" w:right="0"/>
    </w:pPr>
    <w:rPr/>
  </w:style>
  <w:style w:type="paragraph" w:styleId="TOC7">
    <w:name w:val="toc 7"/>
    <w:basedOn w:val="Style22"/>
    <w:qFormat/>
    <w:pPr>
      <w:spacing w:before="0" w:after="57"/>
      <w:ind w:hanging="0" w:left="1701" w:right="0"/>
    </w:pPr>
    <w:rPr/>
  </w:style>
  <w:style w:type="paragraph" w:styleId="TOC8">
    <w:name w:val="toc 8"/>
    <w:basedOn w:val="Style22"/>
    <w:qFormat/>
    <w:pPr>
      <w:spacing w:before="0" w:after="57"/>
      <w:ind w:hanging="0" w:left="1984" w:right="0"/>
    </w:pPr>
    <w:rPr/>
  </w:style>
  <w:style w:type="paragraph" w:styleId="TOC9">
    <w:name w:val="toc 9"/>
    <w:basedOn w:val="Style22"/>
    <w:qFormat/>
    <w:pPr>
      <w:spacing w:before="0" w:after="57"/>
      <w:ind w:hanging="0" w:left="2268" w:right="0"/>
    </w:pPr>
    <w:rPr/>
  </w:style>
  <w:style w:type="paragraph" w:styleId="IndexHeading">
    <w:name w:val="index heading"/>
    <w:basedOn w:val="Style22"/>
    <w:pPr>
      <w:suppressLineNumbers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zh-CN" w:bidi="ar-SA"/>
    </w:rPr>
  </w:style>
  <w:style w:type="paragraph" w:styleId="Style22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paragraph" w:styleId="Style23">
    <w:name w:val="Название объекта"/>
    <w:basedOn w:val="Style22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3">
    <w:name w:val="Указатель2"/>
    <w:basedOn w:val="Style22"/>
    <w:qFormat/>
    <w:pPr>
      <w:suppressLineNumbers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paragraph" w:styleId="Quote">
    <w:name w:val="Quote"/>
    <w:basedOn w:val="Style22"/>
    <w:qFormat/>
    <w:pPr>
      <w:ind w:hanging="0" w:left="720" w:right="720"/>
    </w:pPr>
    <w:rPr>
      <w:i/>
    </w:rPr>
  </w:style>
  <w:style w:type="paragraph" w:styleId="IntenseQuote">
    <w:name w:val="Intense Quote"/>
    <w:basedOn w:val="Style2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Style24">
    <w:name w:val="Текст сноски"/>
    <w:basedOn w:val="Style22"/>
    <w:qFormat/>
    <w:pPr>
      <w:spacing w:before="0" w:after="40"/>
    </w:pPr>
    <w:rPr>
      <w:sz w:val="18"/>
    </w:rPr>
  </w:style>
  <w:style w:type="paragraph" w:styleId="Style25">
    <w:name w:val="Текст концевой сноски"/>
    <w:basedOn w:val="Style22"/>
    <w:qFormat/>
    <w:pPr/>
    <w:rPr/>
  </w:style>
  <w:style w:type="paragraph" w:styleId="Style26">
    <w:name w:val="Заголовок таблицы ссылок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Style22"/>
    <w:pPr/>
    <w:rPr/>
  </w:style>
  <w:style w:type="paragraph" w:styleId="Style27">
    <w:name w:val="Колонтитул"/>
    <w:basedOn w:val="Style22"/>
    <w:qFormat/>
    <w:pPr/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Noto Serif CJK SC" w:cs="FreeSans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Style22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Style22"/>
    <w:qFormat/>
    <w:pPr>
      <w:spacing w:before="0" w:after="0"/>
      <w:ind w:hanging="0" w:left="720" w:right="0"/>
      <w:contextualSpacing/>
    </w:pPr>
    <w:rPr/>
  </w:style>
  <w:style w:type="paragraph" w:styleId="16">
    <w:name w:val="Указатель1"/>
    <w:basedOn w:val="Style22"/>
    <w:qFormat/>
    <w:pPr/>
    <w:rPr/>
  </w:style>
  <w:style w:type="paragraph" w:styleId="17">
    <w:name w:val="Название объекта1"/>
    <w:basedOn w:val="Style22"/>
    <w:qFormat/>
    <w:pPr>
      <w:spacing w:before="120" w:after="120"/>
    </w:pPr>
    <w:rPr>
      <w:i/>
      <w:iCs/>
    </w:rPr>
  </w:style>
  <w:style w:type="paragraph" w:styleId="Caption111">
    <w:name w:val="Caption111"/>
    <w:basedOn w:val="Style22"/>
    <w:qFormat/>
    <w:pPr>
      <w:spacing w:before="120" w:after="120"/>
    </w:pPr>
    <w:rPr>
      <w:i/>
      <w:iCs/>
    </w:rPr>
  </w:style>
  <w:style w:type="paragraph" w:styleId="Caption11">
    <w:name w:val="Caption11"/>
    <w:basedOn w:val="Style22"/>
    <w:qFormat/>
    <w:pPr>
      <w:spacing w:before="120" w:after="120"/>
    </w:pPr>
    <w:rPr>
      <w:i/>
      <w:iCs/>
    </w:rPr>
  </w:style>
  <w:style w:type="paragraph" w:styleId="Caption1">
    <w:name w:val="Caption1"/>
    <w:basedOn w:val="Style22"/>
    <w:qFormat/>
    <w:pPr>
      <w:spacing w:before="120" w:after="120"/>
    </w:pPr>
    <w:rPr>
      <w:i/>
      <w:iCs/>
    </w:rPr>
  </w:style>
  <w:style w:type="paragraph" w:styleId="Style2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oto Serif CJK SC" w:cs="FreeSans"/>
      <w:color w:val="auto"/>
      <w:kern w:val="0"/>
      <w:sz w:val="22"/>
      <w:szCs w:val="22"/>
      <w:lang w:val="ru-RU" w:eastAsia="ru-RU" w:bidi="ar-SA"/>
    </w:rPr>
  </w:style>
  <w:style w:type="paragraph" w:styleId="Style29">
    <w:name w:val="Текст выноски"/>
    <w:basedOn w:val="Style22"/>
    <w:semiHidden/>
    <w:qFormat/>
    <w:pPr/>
    <w:rPr>
      <w:rFonts w:ascii="Tahoma" w:hAnsi="Tahoma"/>
      <w:sz w:val="16"/>
      <w:szCs w:val="16"/>
    </w:rPr>
  </w:style>
  <w:style w:type="numbering" w:styleId="Style30">
    <w:name w:val="Нет списка"/>
    <w:semiHidden/>
    <w:qFormat/>
  </w:style>
  <w:style w:type="numbering" w:styleId="Style31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LibreOffice/25.2.3.2$Linux_X86_64 LibreOffice_project/520$Build-2</Application>
  <AppVersion>15.0000</AppVersion>
  <Pages>4</Pages>
  <Words>939</Words>
  <Characters>6908</Characters>
  <CharactersWithSpaces>8033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2025-12-01T13:37:00Z</cp:lastPrinted>
  <dcterms:modified xsi:type="dcterms:W3CDTF">2025-12-03T16:43:06Z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