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10/148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№2/33 «О ликвидации администрации Лозовского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</w:t>
      </w:r>
      <w:r>
        <w:rPr>
          <w:rFonts w:eastAsia="Calibri" w:cs="Times New Roman" w:ascii="Times New Roman" w:hAnsi="Times New Roman"/>
          <w:b w:val="false"/>
          <w:sz w:val="28"/>
          <w:szCs w:val="28"/>
          <w:lang w:val="en-US"/>
        </w:rPr>
        <w:t>33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 xml:space="preserve"> «О ликвидации администрации Лозовского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администрации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Лозовского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276</Words>
  <Characters>1923</Characters>
  <CharactersWithSpaces>2387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2026-04-09T10:08:57Z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