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«27» марта 2026 года</w:t>
        <w:tab/>
        <w:tab/>
        <w:tab/>
        <w:tab/>
        <w:tab/>
        <w:tab/>
        <w:tab/>
        <w:t xml:space="preserve">            №_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10/152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 Ровеньского муниципального округа от 30  октября 2025 года №2/37 «О ликвидации администрации Ржевского сельского поселения муниципального района «Ровеньский район» Белгородской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от 30  октября 2025 года №2/37 «О ликвидации администрации Ржевского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администрации Ржевского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до 1 июня 2026 </w:t>
      </w:r>
      <w:r>
        <w:rPr>
          <w:rFonts w:eastAsia="Times New Roman" w:cs="Times New Roman" w:ascii="Times New Roman" w:hAnsi="Times New Roman"/>
          <w:sz w:val="28"/>
          <w:szCs w:val="28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Опубликовать решение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2</Pages>
  <Words>274</Words>
  <Characters>1908</Characters>
  <CharactersWithSpaces>2370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dcterms:modified xsi:type="dcterms:W3CDTF">2026-04-09T10:08:12Z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