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A" w:rsidRDefault="004E435B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Й С К А Я   Ф Е Д Е Р А Ц И Я</w:t>
      </w:r>
    </w:p>
    <w:p w:rsidR="00513F4A" w:rsidRDefault="004E43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 Е Л Г О Р О Д С К А Я    О Б Л А С Т Ь</w:t>
      </w:r>
    </w:p>
    <w:p w:rsidR="00513F4A" w:rsidRDefault="00513F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F4A" w:rsidRDefault="004E435B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67055" cy="781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513F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F4A" w:rsidRDefault="004E4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МУНИЦИПАЛЬНОГО РАЙОНА</w:t>
      </w: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«РОВЕНЬСКИЙ РАЙОН»</w:t>
      </w:r>
    </w:p>
    <w:p w:rsidR="00513F4A" w:rsidRDefault="004E4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13F4A" w:rsidRDefault="00513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13F4A" w:rsidRDefault="00513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4A" w:rsidRDefault="00513F4A">
      <w:pPr>
        <w:jc w:val="center"/>
        <w:rPr>
          <w:rFonts w:ascii="Times New Roman" w:hAnsi="Times New Roman" w:cs="Times New Roman"/>
        </w:rPr>
      </w:pPr>
    </w:p>
    <w:p w:rsidR="00513F4A" w:rsidRDefault="004E435B">
      <w:pPr>
        <w:pStyle w:val="a5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25 февраля 2021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33/251</w:t>
      </w:r>
    </w:p>
    <w:p w:rsidR="00513F4A" w:rsidRDefault="00513F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13F4A" w:rsidRDefault="00513F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13F4A" w:rsidRDefault="00513F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513F4A" w:rsidRDefault="004E435B">
      <w:pPr>
        <w:pStyle w:val="ConsTitle"/>
        <w:widowControl/>
        <w:tabs>
          <w:tab w:val="left" w:pos="4680"/>
        </w:tabs>
        <w:ind w:right="3967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 w:rsidR="00513F4A" w:rsidRDefault="00513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513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Ровеньского района в соответствие с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Бюджетного кодекса Российской Федерации Муниципальный совет Ровеньского района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F4A" w:rsidRDefault="00513F4A">
      <w:pPr>
        <w:ind w:firstLine="567"/>
        <w:jc w:val="both"/>
        <w:rPr>
          <w:rFonts w:ascii="Times New Roman" w:hAnsi="Times New Roman" w:cs="Times New Roman"/>
        </w:rPr>
      </w:pPr>
    </w:p>
    <w:p w:rsidR="00513F4A" w:rsidRDefault="004E43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Ровеньском районе, утвержденное решением Совета депутатов Ровеньского района от 14 ноября 2007 года №280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бюджетном процессе в Ровеньском районе» следующие изменения:</w:t>
      </w:r>
    </w:p>
    <w:p w:rsidR="00513F4A" w:rsidRDefault="00513F4A">
      <w:pPr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317" w:lineRule="exact"/>
        <w:ind w:left="0" w:firstLine="567"/>
        <w:jc w:val="both"/>
        <w:rPr>
          <w:kern w:val="0"/>
          <w:lang w:eastAsia="ru-RU" w:bidi="ru-RU"/>
        </w:rPr>
      </w:pPr>
      <w:r>
        <w:rPr>
          <w:kern w:val="0"/>
          <w:lang w:eastAsia="ru-RU" w:bidi="ru-RU"/>
        </w:rPr>
        <w:t>Пункт 2 статьи 34 изложить в следующей редакции:</w:t>
      </w:r>
    </w:p>
    <w:p w:rsidR="00513F4A" w:rsidRDefault="004E435B">
      <w:pPr>
        <w:pStyle w:val="20"/>
        <w:shd w:val="clear" w:color="auto" w:fill="auto"/>
        <w:tabs>
          <w:tab w:val="left" w:pos="1134"/>
        </w:tabs>
        <w:spacing w:line="317" w:lineRule="exact"/>
        <w:ind w:firstLine="567"/>
        <w:jc w:val="both"/>
      </w:pPr>
      <w:r>
        <w:rPr>
          <w:kern w:val="0"/>
          <w:lang w:eastAsia="ru-RU" w:bidi="ru-RU"/>
        </w:rPr>
        <w:t xml:space="preserve">«2. Распределение дотаций на выравнивание бюджетной обеспеченности городского, сельских поселений из бюджета Ровеньского </w:t>
      </w:r>
      <w:r>
        <w:rPr>
          <w:kern w:val="0"/>
          <w:lang w:eastAsia="ru-RU" w:bidi="ru-RU"/>
        </w:rPr>
        <w:t>района производится в соответствии с методикой расчета размера дотаций бюджетам городского, сельских поселений, порядком определения критериев выравнивания финансовых возможностей городского поселения, сельских поселений, приведенной в приложении 1 к насто</w:t>
      </w:r>
      <w:r>
        <w:rPr>
          <w:kern w:val="0"/>
          <w:lang w:eastAsia="ru-RU" w:bidi="ru-RU"/>
        </w:rPr>
        <w:t>ящему положению.»;</w:t>
      </w:r>
    </w:p>
    <w:p w:rsidR="00513F4A" w:rsidRDefault="00513F4A">
      <w:pPr>
        <w:pStyle w:val="20"/>
        <w:shd w:val="clear" w:color="auto" w:fill="auto"/>
        <w:tabs>
          <w:tab w:val="left" w:pos="1134"/>
        </w:tabs>
        <w:spacing w:line="317" w:lineRule="exact"/>
        <w:ind w:firstLine="567"/>
        <w:jc w:val="both"/>
        <w:rPr>
          <w:kern w:val="0"/>
          <w:lang w:eastAsia="ru-RU" w:bidi="ru-RU"/>
        </w:rPr>
      </w:pPr>
    </w:p>
    <w:p w:rsidR="00513F4A" w:rsidRDefault="004E435B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317" w:lineRule="exact"/>
        <w:jc w:val="both"/>
        <w:rPr>
          <w:kern w:val="0"/>
          <w:lang w:eastAsia="ru-RU" w:bidi="ru-RU"/>
        </w:rPr>
      </w:pPr>
      <w:r>
        <w:rPr>
          <w:kern w:val="0"/>
          <w:lang w:eastAsia="ru-RU" w:bidi="ru-RU"/>
        </w:rPr>
        <w:t>Приложение 1 к положению изложить в следующей редакции:</w:t>
      </w:r>
    </w:p>
    <w:p w:rsidR="00513F4A" w:rsidRDefault="00513F4A">
      <w:pPr>
        <w:spacing w:after="1" w:line="22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13F4A" w:rsidRDefault="004E435B">
      <w:pPr>
        <w:spacing w:after="1" w:line="22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«О бюджетном </w:t>
      </w:r>
    </w:p>
    <w:p w:rsidR="00513F4A" w:rsidRDefault="004E435B">
      <w:pPr>
        <w:spacing w:after="1" w:line="22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процессе в Ровеньском районе»</w:t>
      </w:r>
    </w:p>
    <w:p w:rsidR="00513F4A" w:rsidRDefault="00513F4A">
      <w:pPr>
        <w:spacing w:after="1" w:line="22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РАСЧЕТА  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ДОТАЦИЙ БЮДЖЕТАМ ГОРОДСКОГО, СЕЛЬСКИХ ПОСЕЛЕНИЙ, ПОРЯДОК ОПРЕДЕЛЕНИЯ КРИТЕРИЕВ ВЫР</w:t>
      </w:r>
      <w:r>
        <w:rPr>
          <w:rFonts w:ascii="Times New Roman" w:hAnsi="Times New Roman" w:cs="Times New Roman"/>
          <w:sz w:val="28"/>
          <w:szCs w:val="28"/>
        </w:rPr>
        <w:t>АВНИВАНИЯ ФИНАНСОВЫХ ВОЗМОЖНОСТЕЙ ГОРОДСКОГО ПОСЕЛЕНИЯ, СЕЛЬСКИХ ПОСЕЛЕНИЙ</w:t>
      </w:r>
    </w:p>
    <w:p w:rsidR="00513F4A" w:rsidRDefault="00513F4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Методика расчета размера дотаций бюджетам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городского, сельских поселений</w:t>
      </w:r>
    </w:p>
    <w:p w:rsidR="00513F4A" w:rsidRDefault="00513F4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Объем дотаций на выравнивание бюджетной обеспеченности городского,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дотации) определяется исходя из необходимости достижения критериев выравнивания финансовых возможностей городского, сельских поселений.</w:t>
      </w:r>
    </w:p>
    <w:p w:rsidR="00513F4A" w:rsidRDefault="004E435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дотаций, выделяемый городским поселениям, сельским поселениям на очередной финансовый год и на каждый го</w:t>
      </w:r>
      <w:r>
        <w:rPr>
          <w:rFonts w:ascii="Times New Roman" w:hAnsi="Times New Roman" w:cs="Times New Roman"/>
          <w:sz w:val="28"/>
          <w:szCs w:val="28"/>
        </w:rPr>
        <w:t>д планового периода (ОДП), определяется по формуле: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6985">
            <wp:extent cx="1383665" cy="278130"/>
            <wp:effectExtent l="0" t="0" r="0" b="0"/>
            <wp:docPr id="2" name="Рисунок 28" descr="base_23956_77320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8" descr="base_23956_77320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72770" cy="278130"/>
            <wp:effectExtent l="0" t="0" r="0" b="0"/>
            <wp:docPr id="3" name="Рисунок 27" descr="base_23956_77320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7" descr="base_23956_77320_327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объем дотаций городским поселениям, сельским поселениям, необходимый для доведения уровня расчетной бюджетной обеспеченности городского, сельских поселений до установленных критериев </w:t>
      </w:r>
      <w:r>
        <w:rPr>
          <w:rFonts w:ascii="Times New Roman" w:hAnsi="Times New Roman" w:cs="Times New Roman"/>
          <w:sz w:val="28"/>
          <w:szCs w:val="28"/>
        </w:rPr>
        <w:t>выравнивания финансовых возможностей городского, сельских поселений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Размер дотации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городскому, сельскому поселению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13F4A" w:rsidRDefault="00513F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3657600" cy="278130"/>
            <wp:effectExtent l="0" t="0" r="0" b="0"/>
            <wp:docPr id="4" name="Рисунок 26" descr="base_23956_77320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6" descr="base_23956_77320_327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40385" cy="278130"/>
            <wp:effectExtent l="0" t="0" r="0" b="0"/>
            <wp:docPr id="5" name="Рисунок 25" descr="base_23956_77320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5" descr="base_23956_77320_327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налоговый потенциал городского, сельских поселений, рассчитанный отдель</w:t>
      </w:r>
      <w:r>
        <w:rPr>
          <w:rFonts w:ascii="Times New Roman" w:hAnsi="Times New Roman" w:cs="Times New Roman"/>
          <w:sz w:val="28"/>
          <w:szCs w:val="28"/>
        </w:rPr>
        <w:t>но по городским поселениям, сельским поселениям;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01015" cy="278130"/>
            <wp:effectExtent l="0" t="0" r="0" b="0"/>
            <wp:docPr id="6" name="Рисунок 24" descr="base_23956_77320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4" descr="base_23956_77320_327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городского, сельских поселений, рассчитанная отдельно по городским поселениям, сельским поселениям;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критерии выравнивания финансовых возможностей городского, сельских п</w:t>
      </w:r>
      <w:r>
        <w:rPr>
          <w:rFonts w:ascii="Times New Roman" w:hAnsi="Times New Roman" w:cs="Times New Roman"/>
          <w:sz w:val="28"/>
          <w:szCs w:val="28"/>
        </w:rPr>
        <w:t>оселений, рассчитанные отдельно по городским поселениям, сельским поселениям в соответствии с разделом 3 настоящего приложения;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жителей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дифференциации финансовых возможностей.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Объем нормативной стоимости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муниципальных услуг по городским поселениям, сельским поселениям, оказываемых за счет средств бюджета муниципального образования, на выполнение полномочий органов местного самоуправления, рассчитывается отдельно по городским поселениям, сельским поселени</w:t>
      </w:r>
      <w:r>
        <w:rPr>
          <w:rFonts w:ascii="Times New Roman" w:hAnsi="Times New Roman" w:cs="Times New Roman"/>
          <w:sz w:val="28"/>
          <w:szCs w:val="28"/>
        </w:rPr>
        <w:t>ям по формуле:</w:t>
      </w:r>
    </w:p>
    <w:p w:rsidR="00513F4A" w:rsidRDefault="00513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оуi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расчетный показатель общей стоимости предоставления муниципальных услуг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городскому, сельскому поселению, оказываемых за счет средств бюджета муниципального образования, на выполнение полномочий органов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особые условия предоставления услуги    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отражающий факторы, влияющие на стоимость предоставляемых бюджетных услуг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расходов, в расчете на одного потребителя бюджетных услуг в i-м</w:t>
      </w:r>
      <w:r>
        <w:rPr>
          <w:rFonts w:ascii="Times New Roman" w:hAnsi="Times New Roman" w:cs="Times New Roman"/>
          <w:sz w:val="28"/>
          <w:szCs w:val="28"/>
        </w:rPr>
        <w:t xml:space="preserve"> городском, сельском поселении.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Коэффициент, учитывающий особые условия предоставления услуги    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отражающий факторы, влияющие на стоимость предоставляемых бюджетных услуг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расходов, в расчете на одного потребителя бюджетных </w:t>
      </w:r>
      <w:r>
        <w:rPr>
          <w:rFonts w:ascii="Times New Roman" w:hAnsi="Times New Roman" w:cs="Times New Roman"/>
          <w:sz w:val="28"/>
          <w:szCs w:val="28"/>
        </w:rPr>
        <w:t>услуг в i-м городском, сельском поселении, рассчитывается по формуле: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оуi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0,3 + ((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/ 3),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513F4A">
      <w:pPr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масштаба в i-м городском, сельском поселении;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предоставления коммунальных услуг муниципальным учреждения</w:t>
      </w:r>
      <w:r>
        <w:rPr>
          <w:rFonts w:ascii="Times New Roman" w:hAnsi="Times New Roman" w:cs="Times New Roman"/>
          <w:sz w:val="28"/>
          <w:szCs w:val="28"/>
        </w:rPr>
        <w:t>м в i-м городском, сельском поселении;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удаленности в i-м городском, сельском поселении.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Коэффициент масштаба в i-м городском, сельском поселении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13F4A" w:rsidRDefault="00513F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2540" distL="0" distR="0">
            <wp:extent cx="2806700" cy="302260"/>
            <wp:effectExtent l="0" t="0" r="0" b="0"/>
            <wp:docPr id="7" name="Рисунок 23" descr="base_23956_77320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3" descr="base_23956_77320_327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513F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населенных пунктов в i-м городс</w:t>
      </w:r>
      <w:r>
        <w:rPr>
          <w:rFonts w:ascii="Times New Roman" w:hAnsi="Times New Roman" w:cs="Times New Roman"/>
          <w:sz w:val="28"/>
          <w:szCs w:val="28"/>
        </w:rPr>
        <w:t>ком, сельском поселении;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40385" cy="278130"/>
            <wp:effectExtent l="0" t="0" r="0" b="0"/>
            <wp:docPr id="8" name="Рисунок 22" descr="base_23956_77320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base_23956_77320_327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суммарное количество населенных пунктов городского, сельских поселений;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жителей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01015" cy="278130"/>
            <wp:effectExtent l="0" t="0" r="0" b="0"/>
            <wp:docPr id="9" name="Рисунок 21" descr="base_23956_77320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1" descr="base_23956_77320_327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городского, сельских поселений.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предоставления коммунальных услуг муниципальным учреждениям в i-м городском, сельском поселении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удельный вес расходов на коммунальные услуги муниципальных учреждений в i-м городском, сельском поселен</w:t>
      </w:r>
      <w:r>
        <w:rPr>
          <w:rFonts w:ascii="Times New Roman" w:hAnsi="Times New Roman" w:cs="Times New Roman"/>
          <w:sz w:val="28"/>
          <w:szCs w:val="28"/>
        </w:rPr>
        <w:t>ии в общем объеме расходов бюджетов всех поселений муниципального района.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удаленности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i-м городском, сельском поселении определяется по формуле: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635">
            <wp:extent cx="1637665" cy="278130"/>
            <wp:effectExtent l="0" t="0" r="0" b="0"/>
            <wp:docPr id="10" name="Рисунок 20" descr="base_23956_77320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0" descr="base_23956_77320_3277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РРЦ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расстояние от центра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 до центра муниципал</w:t>
      </w:r>
      <w:r>
        <w:rPr>
          <w:rFonts w:ascii="Times New Roman" w:hAnsi="Times New Roman" w:cs="Times New Roman"/>
          <w:sz w:val="28"/>
          <w:szCs w:val="28"/>
        </w:rPr>
        <w:t>ьного района;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620395" cy="278130"/>
            <wp:effectExtent l="0" t="0" r="0" b="0"/>
            <wp:docPr id="11" name="Рисунок 19" descr="base_23956_77320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9" descr="base_23956_77320_327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суммарное расстояние от центров всех поселений до центра муниципального района.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Уровень расчетной бюджетной обеспеченности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определяется соотношением его условного налогового потенциала к </w:t>
      </w:r>
      <w:r>
        <w:rPr>
          <w:rFonts w:ascii="Times New Roman" w:hAnsi="Times New Roman" w:cs="Times New Roman"/>
          <w:sz w:val="28"/>
          <w:szCs w:val="28"/>
        </w:rPr>
        <w:t>аналогичному показателю, рассчитанному по всем муниципальным образованиям в расчете на одного жителя, с учетом объективных факторов и условий, влияющих на стоимость предоставления бюджетных услуг, и рассчитывается по формуле:</w:t>
      </w: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2540" distL="0" distR="0">
            <wp:extent cx="3617595" cy="302260"/>
            <wp:effectExtent l="0" t="0" r="0" b="0"/>
            <wp:docPr id="12" name="Рисунок 18" descr="base_23956_77320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8" descr="base_23956_77320_327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налоговый потенци</w:t>
      </w:r>
      <w:r>
        <w:rPr>
          <w:rFonts w:ascii="Times New Roman" w:hAnsi="Times New Roman" w:cs="Times New Roman"/>
          <w:sz w:val="28"/>
          <w:szCs w:val="28"/>
        </w:rPr>
        <w:t>ал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620395" cy="278130"/>
            <wp:effectExtent l="0" t="0" r="0" b="0"/>
            <wp:docPr id="13" name="Рисунок 17" descr="base_23956_77320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7" descr="base_23956_77320_327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индекс бюджетных расходов городского поселения, сельских поселений, рассчитанный отдельно по городским поселениям, сельским поселениям;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</w:t>
      </w:r>
      <w:r>
        <w:rPr>
          <w:rFonts w:ascii="Times New Roman" w:hAnsi="Times New Roman" w:cs="Times New Roman"/>
          <w:sz w:val="28"/>
          <w:szCs w:val="28"/>
        </w:rPr>
        <w:t>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жителей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40385" cy="278130"/>
            <wp:effectExtent l="0" t="0" r="0" b="0"/>
            <wp:docPr id="14" name="Рисунок 16" descr="base_23956_77320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6" descr="base_23956_77320_3278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налоговый потенциал городского поселения, сельских поселений, рассчитанный отдельно по городским поселениям, сельским поселениям.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Индекс бюджетных </w:t>
      </w:r>
      <w:r>
        <w:rPr>
          <w:rFonts w:ascii="Times New Roman" w:hAnsi="Times New Roman" w:cs="Times New Roman"/>
          <w:sz w:val="28"/>
          <w:szCs w:val="28"/>
        </w:rPr>
        <w:t>расходов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 показывает соотношение нормативных расходов (в расчете на одного жителя) в i-м городском, сельском поселении с учетом объективных факторов и условий к соответствующему среднему показателю по Белгородс</w:t>
      </w:r>
      <w:r>
        <w:rPr>
          <w:rFonts w:ascii="Times New Roman" w:hAnsi="Times New Roman" w:cs="Times New Roman"/>
          <w:sz w:val="28"/>
          <w:szCs w:val="28"/>
        </w:rPr>
        <w:t>кой области, рассчитанному отдельно по городским поселениям, сельским поселениям.</w:t>
      </w:r>
    </w:p>
    <w:p w:rsidR="00513F4A" w:rsidRDefault="004E435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бюджетных расходов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13F4A" w:rsidRDefault="00513F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2540" distL="0" distR="0">
            <wp:extent cx="2425065" cy="302260"/>
            <wp:effectExtent l="0" t="0" r="0" b="0"/>
            <wp:docPr id="15" name="Рисунок 15" descr="base_23956_77320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base_23956_77320_327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513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нормативной стоимости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поселению, сельскому поселению, оказываемых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бюджета муниципального образования, на выполнение полномочий органов местного самоуправления, рассчитанный отдельно по городским поселениям, сельским поселениям;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жителей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453390" cy="278130"/>
            <wp:effectExtent l="0" t="0" r="0" b="0"/>
            <wp:docPr id="16" name="Рисунок 14" descr="base_23956_77320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" descr="base_23956_77320_327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объем нормативной стоимости предоставления муниципальных услуг по городским поселениям, сельским поселениям, оказываемых за счет средств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на выполнение полномочий органов местного самоуправления, рассчитанный отдельно по городским поселениям, сельским поселениям;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01015" cy="278130"/>
            <wp:effectExtent l="0" t="0" r="0" b="0"/>
            <wp:docPr id="17" name="Рисунок 13" descr="base_23956_77320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3" descr="base_23956_77320_327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городского, сельских поселений.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Индекс бюджетных расходов, прогноз суммарного налогового </w:t>
      </w:r>
      <w:r>
        <w:rPr>
          <w:rFonts w:ascii="Times New Roman" w:hAnsi="Times New Roman" w:cs="Times New Roman"/>
          <w:sz w:val="28"/>
          <w:szCs w:val="28"/>
        </w:rPr>
        <w:t>потенциала и коэффициенты, применяемые при определении объема нормативной стоимости предоставления муниципальных услуг по городским поселениям, сельским поселениям, оказываемых за счет средств бюджетов муниципальных образований, на выполнение полномочий ор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самоуправления, в рамках настоящей методики, используются только в целях определения межбюджетных отношений на очередной финансовый год и плановый период и не являются планируемыми или рекомендуемыми показателями для формирования и утвержден</w:t>
      </w:r>
      <w:r>
        <w:rPr>
          <w:rFonts w:ascii="Times New Roman" w:hAnsi="Times New Roman" w:cs="Times New Roman"/>
          <w:sz w:val="28"/>
          <w:szCs w:val="28"/>
        </w:rPr>
        <w:t>ия бюджетов городского поселения, сельских поселений.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Уровень расчетной бюджетной обеспеченности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 после распределения дотации (БО1i) определяется отдельно по городскому поселению, сельским поселениям по фо</w:t>
      </w:r>
      <w:r>
        <w:rPr>
          <w:rFonts w:ascii="Times New Roman" w:hAnsi="Times New Roman" w:cs="Times New Roman"/>
          <w:sz w:val="28"/>
          <w:szCs w:val="28"/>
        </w:rPr>
        <w:t>рмуле:</w:t>
      </w: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8890" distL="0" distR="0">
            <wp:extent cx="3355340" cy="334010"/>
            <wp:effectExtent l="0" t="0" r="0" b="0"/>
            <wp:docPr id="18" name="Рисунок 12" descr="base_23956_77320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2" descr="base_23956_77320_327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уровень расчетной бюджетной обеспеченности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 до распределения дотации;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дотации, необходимый для достижения i-м городским поселением, сельским поселением соответствующих уровней расчетной бюджетной обеспеченности, установленных в качестве критериев выравнивания финансовых возможностей;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</w:t>
      </w:r>
      <w:r>
        <w:rPr>
          <w:rFonts w:ascii="Times New Roman" w:hAnsi="Times New Roman" w:cs="Times New Roman"/>
          <w:sz w:val="28"/>
          <w:szCs w:val="28"/>
        </w:rPr>
        <w:t>в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жителей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40385" cy="278130"/>
            <wp:effectExtent l="0" t="0" r="0" b="0"/>
            <wp:docPr id="19" name="Рисунок 11" descr="base_23956_77320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1" descr="base_23956_77320_327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налоговый потенциал городского поселений, сельских поселений, рассчитанный отдельно по городским поселениям, сельским </w:t>
      </w:r>
      <w:r>
        <w:rPr>
          <w:rFonts w:ascii="Times New Roman" w:hAnsi="Times New Roman" w:cs="Times New Roman"/>
          <w:sz w:val="28"/>
          <w:szCs w:val="28"/>
        </w:rPr>
        <w:t>поселениям;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01015" cy="278130"/>
            <wp:effectExtent l="0" t="0" r="0" b="0"/>
            <wp:docPr id="20" name="Рисунок 10" descr="base_23956_77320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0" descr="base_23956_77320_327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суммарная численность жителей городского, сельских поселений.</w:t>
      </w:r>
    </w:p>
    <w:p w:rsidR="00513F4A" w:rsidRDefault="00513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>
        <w:rPr>
          <w:rFonts w:ascii="Times New Roman" w:hAnsi="Times New Roman" w:cs="Times New Roman"/>
          <w:sz w:val="28"/>
          <w:szCs w:val="28"/>
        </w:rPr>
        <w:t>2. Порядок определения критериев выравнивания финансовых</w:t>
      </w: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городского поселения, сельских поселений</w:t>
      </w:r>
    </w:p>
    <w:p w:rsidR="00513F4A" w:rsidRDefault="00513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выравнивания финансовых возможностей городского поселени</w:t>
      </w:r>
      <w:r>
        <w:rPr>
          <w:rFonts w:ascii="Times New Roman" w:hAnsi="Times New Roman" w:cs="Times New Roman"/>
          <w:sz w:val="28"/>
          <w:szCs w:val="28"/>
        </w:rPr>
        <w:t>й, сельских поселений на очередной финансовый год и плановый период рассчитываются отдельно по городским поселениям, сельским поселениям по формуле:</w:t>
      </w:r>
    </w:p>
    <w:p w:rsidR="00513F4A" w:rsidRDefault="004E4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2540" distL="0" distR="0">
            <wp:extent cx="1510665" cy="302260"/>
            <wp:effectExtent l="0" t="0" r="0" b="0"/>
            <wp:docPr id="21" name="Рисунок 4" descr="base_23956_77320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" descr="base_23956_77320_327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540385" cy="278130"/>
            <wp:effectExtent l="0" t="0" r="0" b="0"/>
            <wp:docPr id="22" name="Рисунок 3" descr="base_23956_77320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3" descr="base_23956_77320_327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налоговый потенциал городского поселений, сельских поселений, рассчитанный отдельно по</w:t>
      </w:r>
      <w:r>
        <w:rPr>
          <w:rFonts w:ascii="Times New Roman" w:hAnsi="Times New Roman" w:cs="Times New Roman"/>
          <w:sz w:val="28"/>
          <w:szCs w:val="28"/>
        </w:rPr>
        <w:t xml:space="preserve"> городским поселениям, сельским поселениям;</w:t>
      </w:r>
    </w:p>
    <w:p w:rsidR="00513F4A" w:rsidRDefault="004E43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7620" distL="0" distR="0">
            <wp:extent cx="453390" cy="278130"/>
            <wp:effectExtent l="0" t="0" r="0" b="0"/>
            <wp:docPr id="23" name="Рисунок 2" descr="base_23956_77320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" descr="base_23956_77320_327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суммарный объем нормативной стоимости предоставления муниципальных услуг по городским поселениям, сельским поселениям, оказываемых за счет средств бюджетов муниципальных образований, на выполнение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рассчитанный отдельно по городским поселениям, сельским поселениям.»;</w:t>
      </w:r>
    </w:p>
    <w:p w:rsidR="00513F4A" w:rsidRDefault="004E435B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kern w:val="0"/>
          <w:lang w:eastAsia="ru-RU" w:bidi="ru-RU"/>
        </w:rPr>
      </w:pPr>
      <w:r>
        <w:t>части 3 и 4 статьи 52</w:t>
      </w:r>
      <w:r>
        <w:rPr>
          <w:spacing w:val="27"/>
        </w:rPr>
        <w:t xml:space="preserve"> </w:t>
      </w:r>
      <w:r>
        <w:t>исключить</w:t>
      </w:r>
      <w:r>
        <w:rPr>
          <w:kern w:val="0"/>
          <w:lang w:eastAsia="ru-RU" w:bidi="ru-RU"/>
        </w:rPr>
        <w:t>;</w:t>
      </w:r>
    </w:p>
    <w:p w:rsidR="00513F4A" w:rsidRDefault="004E435B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абзаце пятнадцатом части 2 статьи 53 слова «проект бюджетного прогноза (проект изменений бюджетного прогноза)» заменит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 словами «бюджетный прогноз (проект бюджетного прогноза, проект изменений бюджетного прогноза)»;</w:t>
      </w:r>
    </w:p>
    <w:p w:rsidR="00513F4A" w:rsidRDefault="004E435B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пункт 2 части 2 статьи 64 после слов «распорядителей (получателей) бюджетных средств» дополнить словами «, централизацией закупок товаров, работ, услуг для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обеспечения государственных (муниципальных) нужд в соответствии с частью 3 статьи 26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513F4A" w:rsidRDefault="004E435B">
      <w:pPr>
        <w:pStyle w:val="aa"/>
        <w:numPr>
          <w:ilvl w:val="1"/>
          <w:numId w:val="2"/>
        </w:numPr>
        <w:tabs>
          <w:tab w:val="left" w:pos="1134"/>
        </w:tabs>
        <w:ind w:left="0" w:firstLine="55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част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2 статьи 68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средств».</w:t>
      </w:r>
    </w:p>
    <w:p w:rsidR="00513F4A" w:rsidRDefault="00513F4A">
      <w:pPr>
        <w:pStyle w:val="aa"/>
        <w:tabs>
          <w:tab w:val="left" w:pos="851"/>
          <w:tab w:val="left" w:pos="1134"/>
        </w:tabs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13F4A" w:rsidRDefault="004E435B">
      <w:pPr>
        <w:spacing w:after="1" w:line="220" w:lineRule="atLeast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2021 года 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распространяется на правоотношения, связанные с формированием местного бюджета Ровеньского района на 2021 год и плановый период 2022 и 2023 годов.</w:t>
      </w:r>
    </w:p>
    <w:p w:rsidR="00513F4A" w:rsidRDefault="004E435B">
      <w:pPr>
        <w:pStyle w:val="aa"/>
        <w:widowControl w:val="0"/>
        <w:tabs>
          <w:tab w:val="left" w:pos="851"/>
        </w:tabs>
        <w:ind w:left="0" w:firstLine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  <w:t xml:space="preserve"> </w:t>
      </w:r>
    </w:p>
    <w:p w:rsidR="00513F4A" w:rsidRDefault="00513F4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513F4A" w:rsidRDefault="00513F4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513F4A" w:rsidRDefault="004E435B">
      <w:pPr>
        <w:pStyle w:val="ConsNonformat"/>
        <w:widowControl/>
        <w:ind w:right="0"/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513F4A" w:rsidRDefault="004E435B">
      <w:pPr>
        <w:pStyle w:val="ConsNonformat"/>
        <w:widowControl/>
        <w:ind w:right="0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Ровень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В.А. Некрасов</w:t>
      </w:r>
    </w:p>
    <w:sectPr w:rsidR="00513F4A">
      <w:pgSz w:w="11906" w:h="16838"/>
      <w:pgMar w:top="1134" w:right="707" w:bottom="993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4F69"/>
    <w:multiLevelType w:val="multilevel"/>
    <w:tmpl w:val="49D252F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651F236F"/>
    <w:multiLevelType w:val="multilevel"/>
    <w:tmpl w:val="23B649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sz w:val="28"/>
        <w:szCs w:val="28"/>
      </w:rPr>
    </w:lvl>
    <w:lvl w:ilvl="1">
      <w:start w:val="4"/>
      <w:numFmt w:val="decimal"/>
      <w:lvlText w:val="%1.%2."/>
      <w:lvlJc w:val="left"/>
      <w:pPr>
        <w:ind w:left="1641" w:hanging="1215"/>
      </w:pPr>
      <w:rPr>
        <w:b w:val="0"/>
      </w:rPr>
    </w:lvl>
    <w:lvl w:ilvl="2">
      <w:start w:val="1"/>
      <w:numFmt w:val="decimal"/>
      <w:lvlText w:val="%1.%2.%3."/>
      <w:lvlJc w:val="left"/>
      <w:pPr>
        <w:ind w:left="1782" w:hanging="1215"/>
      </w:pPr>
    </w:lvl>
    <w:lvl w:ilvl="3">
      <w:start w:val="1"/>
      <w:numFmt w:val="decimal"/>
      <w:lvlText w:val="%1.%2.%3.%4."/>
      <w:lvlJc w:val="left"/>
      <w:pPr>
        <w:ind w:left="1782" w:hanging="1215"/>
      </w:pPr>
    </w:lvl>
    <w:lvl w:ilvl="4">
      <w:start w:val="1"/>
      <w:numFmt w:val="decimal"/>
      <w:lvlText w:val="%1.%2.%3.%4.%5."/>
      <w:lvlJc w:val="left"/>
      <w:pPr>
        <w:ind w:left="1782" w:hanging="1215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763D44A5"/>
    <w:multiLevelType w:val="multilevel"/>
    <w:tmpl w:val="77C2B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A"/>
    <w:rsid w:val="004E435B"/>
    <w:rsid w:val="005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E789-FC74-4F98-BD34-572E49F9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C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1z1">
    <w:name w:val="WW8Num1z1"/>
    <w:qFormat/>
  </w:style>
  <w:style w:type="character" w:customStyle="1" w:styleId="-">
    <w:name w:val="Интернет-ссылка"/>
    <w:basedOn w:val="a0"/>
    <w:uiPriority w:val="99"/>
    <w:unhideWhenUsed/>
    <w:rsid w:val="00A521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cs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i w:val="0"/>
      <w:strike w:val="0"/>
      <w:dstrike w:val="0"/>
      <w:color w:val="auto"/>
      <w:sz w:val="28"/>
      <w:szCs w:val="28"/>
      <w:u w:val="none"/>
      <w:lang w:val="ru-RU"/>
    </w:rPr>
  </w:style>
  <w:style w:type="character" w:customStyle="1" w:styleId="a3">
    <w:name w:val="Текст выноски Знак"/>
    <w:basedOn w:val="a0"/>
    <w:uiPriority w:val="99"/>
    <w:semiHidden/>
    <w:qFormat/>
    <w:rsid w:val="009D7B6C"/>
    <w:rPr>
      <w:rFonts w:ascii="Tahoma" w:hAnsi="Tahoma"/>
      <w:sz w:val="16"/>
      <w:szCs w:val="14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kern w:val="0"/>
      <w:sz w:val="28"/>
      <w:szCs w:val="28"/>
      <w:lang w:eastAsia="en-US" w:bidi="ar-SA"/>
    </w:rPr>
  </w:style>
  <w:style w:type="character" w:customStyle="1" w:styleId="ListLabel13">
    <w:name w:val="ListLabel 13"/>
    <w:qFormat/>
    <w:rPr>
      <w:rFonts w:ascii="Times New Roman" w:eastAsiaTheme="minorHAnsi" w:hAnsi="Times New Roman" w:cs="Times New Roman"/>
      <w:color w:val="0000F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16">
    <w:name w:val="ListLabel 16"/>
    <w:qFormat/>
    <w:rPr>
      <w:rFonts w:ascii="Times New Roman" w:eastAsiaTheme="minorHAnsi" w:hAnsi="Times New Roman" w:cs="Times New Roman"/>
      <w:kern w:val="0"/>
      <w:sz w:val="28"/>
      <w:szCs w:val="28"/>
      <w:lang w:eastAsia="en-US" w:bidi="ar-SA"/>
    </w:rPr>
  </w:style>
  <w:style w:type="character" w:customStyle="1" w:styleId="ListLabel17">
    <w:name w:val="ListLabel 17"/>
    <w:qFormat/>
    <w:rPr>
      <w:rFonts w:ascii="Times New Roman" w:eastAsiaTheme="minorHAnsi" w:hAnsi="Times New Roman" w:cs="Times New Roman"/>
      <w:kern w:val="0"/>
      <w:sz w:val="28"/>
      <w:szCs w:val="28"/>
      <w:lang w:eastAsia="en-US" w:bidi="ar-SA"/>
    </w:rPr>
  </w:style>
  <w:style w:type="character" w:customStyle="1" w:styleId="ListLabel18">
    <w:name w:val="ListLabel 18"/>
    <w:qFormat/>
    <w:rPr>
      <w:rFonts w:ascii="Times New Roman" w:eastAsiaTheme="minorHAnsi" w:hAnsi="Times New Roman" w:cs="Times New Roman"/>
      <w:color w:val="0000FF"/>
      <w:kern w:val="0"/>
      <w:sz w:val="28"/>
      <w:szCs w:val="28"/>
      <w:lang w:eastAsia="en-US" w:bidi="ar-SA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ListLabel21">
    <w:name w:val="ListLabel 21"/>
    <w:qFormat/>
    <w:rPr>
      <w:rFonts w:ascii="Times New Roman" w:eastAsiaTheme="minorHAnsi" w:hAnsi="Times New Roman" w:cs="Times New Roman"/>
      <w:kern w:val="0"/>
      <w:sz w:val="28"/>
      <w:szCs w:val="28"/>
      <w:lang w:eastAsia="en-US" w:bidi="ar-SA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color w:val="auto"/>
      <w:kern w:val="0"/>
      <w:sz w:val="28"/>
      <w:szCs w:val="28"/>
      <w:lang w:eastAsia="en-US" w:bidi="ar-SA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69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qFormat/>
    <w:rsid w:val="0069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 + Не полужирный"/>
    <w:basedOn w:val="4"/>
    <w:qFormat/>
    <w:rsid w:val="00694D1A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ListLabel24">
    <w:name w:val="ListLabel 24"/>
    <w:qFormat/>
    <w:rPr>
      <w:rFonts w:cs="Times New Roman"/>
      <w:b w:val="0"/>
      <w:sz w:val="28"/>
      <w:szCs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4">
    <w:name w:val="ListLabel 34"/>
    <w:qFormat/>
    <w:rPr>
      <w:rFonts w:eastAsia="Times New Roman" w:cs="Times New Roman"/>
      <w:w w:val="96"/>
      <w:sz w:val="29"/>
      <w:szCs w:val="29"/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9">
    <w:name w:val="Balloon Text"/>
    <w:basedOn w:val="a"/>
    <w:uiPriority w:val="99"/>
    <w:semiHidden/>
    <w:unhideWhenUsed/>
    <w:qFormat/>
    <w:rsid w:val="009D7B6C"/>
    <w:rPr>
      <w:rFonts w:ascii="Tahoma" w:hAnsi="Tahoma"/>
      <w:sz w:val="16"/>
      <w:szCs w:val="14"/>
    </w:rPr>
  </w:style>
  <w:style w:type="paragraph" w:customStyle="1" w:styleId="ConsPlusNormal">
    <w:name w:val="ConsPlusNormal"/>
    <w:qFormat/>
    <w:rsid w:val="005A53FC"/>
    <w:pPr>
      <w:widowControl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694D1A"/>
    <w:pPr>
      <w:widowControl w:val="0"/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qFormat/>
    <w:rsid w:val="00694D1A"/>
    <w:pPr>
      <w:widowControl w:val="0"/>
      <w:shd w:val="clear" w:color="auto" w:fill="FFFFFF"/>
      <w:spacing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04BE3"/>
    <w:pPr>
      <w:ind w:left="720"/>
      <w:contextualSpacing/>
    </w:pPr>
    <w:rPr>
      <w:szCs w:val="21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49E-332A-4A91-8280-630BE43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Мягкая</dc:creator>
  <dc:description/>
  <cp:lastModifiedBy>Ryzen</cp:lastModifiedBy>
  <cp:revision>2</cp:revision>
  <cp:lastPrinted>2021-02-19T06:39:00Z</cp:lastPrinted>
  <dcterms:created xsi:type="dcterms:W3CDTF">2021-04-12T13:39:00Z</dcterms:created>
  <dcterms:modified xsi:type="dcterms:W3CDTF">2021-04-12T13:39:00Z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