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rPr>
          <w:rFonts w:ascii="Times New Roman" w:hAnsi="Times New Roman" w:eastAsia="Times New Roman" w:cs="Times New Roman"/>
          <w:color w:val="000000"/>
          <w:lang w:val="en-US" w:bidi="en-US"/>
        </w:rPr>
      </w:pPr>
      <w:r>
        <w:rPr>
          <w:rFonts w:eastAsia="Times New Roman" w:cs="Times New Roman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Lucida Sans Unicode" w:cs="Times New Roman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lineRule="atLeast" w:line="102" w:beforeAutospacing="1" w:after="19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sz w:val="28"/>
          <w:szCs w:val="28"/>
        </w:rPr>
        <w:t>27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марта 2026 года</w:t>
        <w:tab/>
        <w:t xml:space="preserve">     </w:t>
        <w:tab/>
        <w:tab/>
        <w:tab/>
        <w:tab/>
        <w:tab/>
        <w:tab/>
        <w:t xml:space="preserve">          № </w:t>
      </w:r>
      <w:r>
        <w:rPr>
          <w:rFonts w:eastAsia="Calibri" w:cs="Times New Roman" w:ascii="Times New Roman" w:hAnsi="Times New Roman"/>
          <w:sz w:val="28"/>
          <w:szCs w:val="28"/>
        </w:rPr>
        <w:t>10/142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О внесении изменений в решение 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»</w:t>
      </w:r>
    </w:p>
    <w:p>
      <w:pPr>
        <w:pStyle w:val="Normal"/>
        <w:widowControl w:val="false"/>
        <w:spacing w:lineRule="atLeast" w:line="280" w:before="0" w:after="0"/>
        <w:ind w:firstLine="708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tLeast" w:line="280" w:before="0" w:after="0"/>
        <w:ind w:firstLine="708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статьей 22 Федерального Закона от 2 марта 2007 года №25-ФЗ «О муниципальной службе в Российской Федерации», статьей 13 части 2 статьи 17 Закона Белгородской области от 24 сентября 2007 года №150 «Об особенностях организации муниципальной службы в Белгородской области», Уставом Ровеньского муниципального округа Белгородской области,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Совет депутатов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widowControl w:val="false"/>
        <w:spacing w:lineRule="atLeast" w:line="28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7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решение 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Решение) внести следующие изменения:</w:t>
      </w:r>
    </w:p>
    <w:p>
      <w:pPr>
        <w:pStyle w:val="Normal"/>
        <w:widowControl w:val="false"/>
        <w:spacing w:lineRule="atLeast" w:line="28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азмеры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должностных окладов, ежемесячных и дополнительных выплат к должностным окладам работников обслуживающего персонала и работников, приравненных к условиям оплаты труда обслуживающего персонала органов местного самоуправления </w:t>
      </w:r>
      <w:r>
        <w:rPr>
          <w:rFonts w:cs="Times New Roman" w:ascii="Times New Roman" w:hAnsi="Times New Roman"/>
          <w:sz w:val="28"/>
          <w:szCs w:val="28"/>
        </w:rPr>
        <w:t>Ровеньского муниципального округа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приложение №11)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пункта 11 Решения изложить в новой редакции согласно приложению №1 к настоящему решению.</w:t>
      </w:r>
    </w:p>
    <w:p>
      <w:pPr>
        <w:pStyle w:val="Normal"/>
        <w:widowControl w:val="false"/>
        <w:spacing w:lineRule="atLeast" w:line="28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Настоящее решение  вступает в силу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3. Опубликовать настоящее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 w:bidi="en-US"/>
          </w:rPr>
          <w:t>https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ru-RU" w:eastAsia="ru-RU" w:bidi="en-US"/>
          </w:rPr>
          <w:t>:/</w:t>
        </w:r>
        <w:r>
          <w:rPr>
            <w:rStyle w:val="Style"/>
            <w:sz w:val="28"/>
            <w:szCs w:val="28"/>
            <w:lang w:val="ru-RU" w:eastAsia="ru-RU" w:bidi="en-US"/>
          </w:rPr>
          <w:t>/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 w:bidi="en-US"/>
          </w:rPr>
          <w:t>rovenkiadm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ru-RU" w:eastAsia="ru-RU" w:bidi="en-US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 w:bidi="en-US"/>
          </w:rPr>
          <w:t>gosuslugi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ru-RU" w:eastAsia="ru-RU" w:bidi="en-US"/>
          </w:rPr>
          <w:t>.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val="en-US" w:eastAsia="ru-RU" w:bidi="en-US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муниципальной собственности, бюджетной и экономической политике.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Т. В. Киричкова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tLeast" w:line="283" w:before="0" w:after="160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Приложение № 1</w:t>
      </w:r>
    </w:p>
    <w:p>
      <w:pPr>
        <w:pStyle w:val="Normal"/>
        <w:spacing w:lineRule="atLeast" w:line="283" w:before="0" w:after="160"/>
        <w:ind w:left="4862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решению Совета депутатов Ровеньского муниципального округа Белгородской области</w:t>
      </w:r>
    </w:p>
    <w:p>
      <w:pPr>
        <w:pStyle w:val="Normal"/>
        <w:spacing w:lineRule="atLeast" w:line="283" w:before="0" w:after="16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от 27.03.2026 года №____</w:t>
      </w:r>
    </w:p>
    <w:p>
      <w:pPr>
        <w:pStyle w:val="Normal"/>
        <w:spacing w:lineRule="atLeast" w:line="283" w:before="0" w:after="160"/>
        <w:ind w:left="4862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Приложение № 11</w:t>
      </w:r>
    </w:p>
    <w:p>
      <w:pPr>
        <w:pStyle w:val="Normal"/>
        <w:spacing w:lineRule="atLeast" w:line="283" w:before="0" w:after="160"/>
        <w:ind w:left="4862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решению Совета депутатов Ровеньского муниципального округа Белгородской области</w:t>
      </w:r>
    </w:p>
    <w:p>
      <w:pPr>
        <w:pStyle w:val="Normal"/>
        <w:spacing w:lineRule="atLeast" w:line="283" w:before="0" w:after="160"/>
        <w:contextualSpacing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30.10.2025 года №2/40 </w:t>
      </w:r>
    </w:p>
    <w:p>
      <w:pPr>
        <w:pStyle w:val="Normal"/>
        <w:spacing w:lineRule="atLeast" w:line="283" w:before="0" w:after="160"/>
        <w:contextualSpacing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16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Размеры</w:t>
      </w:r>
    </w:p>
    <w:p>
      <w:pPr>
        <w:pStyle w:val="Normal"/>
        <w:spacing w:lineRule="atLeast" w:line="283" w:before="0" w:after="160"/>
        <w:contextualSpacing/>
        <w:jc w:val="center"/>
        <w:rPr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должностных окладов, ежемесячных и дополнительных выплат к должностным окладам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работников обслуживающего персонала и работников, приравненных к условиям оплаты труда обслуживающего персонала органов местного самоуправления Ровеньского муниципального округа</w:t>
      </w:r>
    </w:p>
    <w:p>
      <w:pPr>
        <w:pStyle w:val="Normal"/>
        <w:spacing w:lineRule="atLeast" w:line="283" w:before="0" w:after="16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41" w:type="dxa"/>
        <w:jc w:val="left"/>
        <w:tblInd w:w="-2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3566"/>
        <w:gridCol w:w="1760"/>
        <w:gridCol w:w="1453"/>
        <w:gridCol w:w="1317"/>
        <w:gridCol w:w="1198"/>
      </w:tblGrid>
      <w:tr>
        <w:trPr/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Размер должностного оклада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Ежемесячные и дополнительные выплаты к должностному окладу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7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</w:rPr>
              <w:t>е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жемесячная надбавка за сложность, напряженность и высокие достижения в труде, %</w:t>
            </w:r>
          </w:p>
        </w:tc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ежемесячное денежное поощрение (кол-во должн. окл.)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премии по результатам работы, %</w:t>
            </w:r>
          </w:p>
        </w:tc>
      </w:tr>
      <w:tr>
        <w:trPr>
          <w:trHeight w:val="494" w:hRule="atLeast"/>
        </w:trPr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Обслуживающий персонал</w:t>
            </w:r>
          </w:p>
        </w:tc>
      </w:tr>
      <w:tr>
        <w:trPr>
          <w:trHeight w:val="611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Администрация округа</w:t>
            </w:r>
          </w:p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ведущий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9754,00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607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специалист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7017,00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607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инспектор - делопроизводитель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4532,00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607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8801,00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910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Управление финансов и бюджетной политики администрации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189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главный специалист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12190,00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241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Управление капитального строительства, транспорта, ЖКХ</w:t>
            </w:r>
          </w:p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и топливно-энергетического комплекса</w:t>
            </w:r>
          </w:p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администрации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159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ведущий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9754,00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241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Управление культуры и сельского туризма администрации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69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ведущий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9754,00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241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Управление социальной защиты населения администрации 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33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заместитель начальника отдела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11000,00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233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ведущий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9754,00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313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8801,00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571" w:hRule="atLeast"/>
        </w:trPr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highlight w:val="white"/>
              </w:rPr>
              <w:t>Приравненные к условиям оплаты труда обслуживающего персонала</w:t>
            </w:r>
          </w:p>
        </w:tc>
      </w:tr>
      <w:tr>
        <w:trPr>
          <w:trHeight w:val="522" w:hRule="atLeast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Управление социальной защиты населения администрации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cs="Times New Roman" w:ascii="Times New Roman" w:hAnsi="Times New Roman"/>
                <w:color w:val="000000"/>
                <w:highlight w:val="white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юрист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8801,00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>
        <w:trPr>
          <w:trHeight w:val="661" w:hRule="atLeast"/>
        </w:trPr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- консультант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8801,00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60-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hi-IN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3" w:before="0"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</w:tbl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tLeast" w:line="283" w:before="0" w:after="0"/>
        <w:ind w:left="4862"/>
        <w:contextualSpacing/>
        <w:jc w:val="right"/>
        <w:rPr>
          <w:rFonts w:ascii="Times New Roman" w:hAnsi="Times New Roman" w:cs="Times New Roman"/>
          <w:color w:val="C9211E"/>
        </w:rPr>
      </w:pPr>
      <w:r>
        <w:rPr>
          <w:rFonts w:cs="Times New Roman" w:ascii="Times New Roman" w:hAnsi="Times New Roman"/>
          <w:color w:val="C9211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Пояснительная записка </w:t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 проекту решения Совета депутатов Ровеньского муниципального округа Белгородской области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О внесении изменений в решение 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»</w:t>
      </w:r>
    </w:p>
    <w:p>
      <w:pPr>
        <w:pStyle w:val="Normal"/>
        <w:tabs>
          <w:tab w:val="clear" w:pos="708"/>
          <w:tab w:val="left" w:pos="4962" w:leader="none"/>
          <w:tab w:val="left" w:pos="5812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 xml:space="preserve">Основание разработки проекта: 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1. 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2. Статья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22 Федерального Закона от 2 марта 2007 года №25-ФЗ «О муниципальной службе в Российской Федерации»;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3. Статья 13 части 2 статьи 17 Закона Белгородской области от 24 сентября 2007 года №150 «Об особенностях организации муниципальной службы в Белгородской области»;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  <w:r>
        <w:rPr>
          <w:sz w:val="24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Постановление Правительства Белгородской области от 22 сентября 2025 года N442-пп «О внесении изменений в </w:t>
      </w:r>
      <w:r>
        <w:fldChar w:fldCharType="begin"/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instrText xml:space="preserve"> HYPERLINK "https://docs.cntd.ru/document/578137758" \l "64U0IK"</w:instrTex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постановление Правительства Белгородской области от 28 февраля 2022 года </w: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end"/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en-US" w:bidi="en-US"/>
        </w:rPr>
        <w:t>N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 103-пп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5. Устав Ровеньского муниципального округа Белгородской области.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 xml:space="preserve">Цель разработки проекта область применения: </w:t>
      </w:r>
    </w:p>
    <w:p>
      <w:pPr>
        <w:pStyle w:val="Normal"/>
        <w:spacing w:lineRule="auto" w:line="230"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Приведение решения 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соответствие с действующим законодательством.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>Соответствие нормативным правовым актам: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1. 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2. Статья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22 Федерального Закона от 2 марта 2007 года №25-ФЗ «О муниципальной службе в Российской Федерации»;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3. Статья 13 части 2 статьи 17 Закона Белгородской области от 24 сентября 2007 года №150 «Об особенностях организации муниципальной службы в Белгородской области»;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4. Устав Ровеньского муниципального округа Белгородской области.</w:t>
      </w:r>
    </w:p>
    <w:p>
      <w:pPr>
        <w:pStyle w:val="Normal"/>
        <w:spacing w:lineRule="auto" w:line="230"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Основные положения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3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азмеры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должностных окладов, ежемесячных и дополнительных выплат к должностным окладам работников обслуживающего персонала и работников, приравненных к условиям оплаты труда обслуживающего персонала органов местного самоуправления </w:t>
      </w:r>
      <w:r>
        <w:rPr>
          <w:rFonts w:cs="Times New Roman" w:ascii="Times New Roman" w:hAnsi="Times New Roman"/>
          <w:sz w:val="28"/>
          <w:szCs w:val="28"/>
        </w:rPr>
        <w:t>Ровеньского муниципального округа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приложение №11)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изложить в новой редакции согласно приложению №1 к настоящему решению.</w:t>
      </w:r>
    </w:p>
    <w:p>
      <w:pPr>
        <w:pStyle w:val="Normal"/>
        <w:shd w:val="clear" w:color="FFFFFF" w:fill="auto"/>
        <w:spacing w:lineRule="auto" w:line="23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В структуре Администрации Ровеньского муниципального округа вводится следующая штатная единица:</w:t>
      </w:r>
    </w:p>
    <w:p>
      <w:pPr>
        <w:pStyle w:val="ListParagraph"/>
        <w:numPr>
          <w:ilvl w:val="0"/>
          <w:numId w:val="1"/>
        </w:numPr>
        <w:shd w:val="clear" w:color="FFFFFF" w:fill="auto"/>
        <w:spacing w:lineRule="auto" w:line="230" w:before="0" w:after="0"/>
        <w:ind w:firstLine="709" w:left="72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Консультант отдела ЗАГС – 1 штатная единица.</w:t>
      </w:r>
    </w:p>
    <w:p>
      <w:pPr>
        <w:pStyle w:val="Normal"/>
        <w:shd w:val="clear" w:color="FFFFFF" w:fill="auto"/>
        <w:spacing w:lineRule="auto" w:line="23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Должностные обязанности консультанта включают:</w:t>
      </w:r>
    </w:p>
    <w:p>
      <w:pPr>
        <w:pStyle w:val="ListParagraph"/>
        <w:numPr>
          <w:ilvl w:val="0"/>
          <w:numId w:val="3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Составление, оформление документов, их обработка и хранение</w:t>
      </w:r>
    </w:p>
    <w:p>
      <w:pPr>
        <w:pStyle w:val="ListParagraph"/>
        <w:numPr>
          <w:ilvl w:val="0"/>
          <w:numId w:val="3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Осуществление оказания  гражданам бесплатной юридической помощи  в виде правового консультирования в устной и письменной форме в части касающейся непосредственной деятельности.</w:t>
      </w:r>
    </w:p>
    <w:p>
      <w:pPr>
        <w:pStyle w:val="ListParagraph"/>
        <w:numPr>
          <w:ilvl w:val="0"/>
          <w:numId w:val="3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Участие в проведении мероприятий по реализации семейной политики на территории района.</w:t>
      </w:r>
    </w:p>
    <w:p>
      <w:pPr>
        <w:pStyle w:val="Normal"/>
        <w:spacing w:lineRule="auto" w:line="230"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Срок вступления в силу и распространение действия:</w:t>
      </w:r>
    </w:p>
    <w:p>
      <w:pPr>
        <w:pStyle w:val="Normal"/>
        <w:spacing w:lineRule="auto" w:line="230" w:before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Настоящее решение  вступает в силу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Проект подготовил: __________________________________Н.В.Злобина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Проект согласован: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И.о. начальника управления финансов 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и бюджетной политики Администрации 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                 _____________   Е.А. Мягкая</w:t>
      </w:r>
    </w:p>
    <w:p>
      <w:pPr>
        <w:pStyle w:val="Normal"/>
        <w:spacing w:lineRule="auto" w:line="23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-340"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Заключение к проекту решения Совета депутатов Ровеньского муниципального округа Белгородской области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О внесении изменений в решение 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hd w:fill="FFFFFF" w:val="clear"/>
        </w:rPr>
        <w:t>»</w:t>
      </w:r>
    </w:p>
    <w:p>
      <w:pPr>
        <w:pStyle w:val="Normal"/>
        <w:tabs>
          <w:tab w:val="clear" w:pos="708"/>
          <w:tab w:val="left" w:pos="4962" w:leader="none"/>
          <w:tab w:val="left" w:pos="5812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 xml:space="preserve">Основание разработки проекта: 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1. 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2. Статья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22 Федерального Закона от 2 марта 2007 года №25-ФЗ «О муниципальной службе в Российской Федерации»;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3. Статья 13 части 2 статьи 17 Закона Белгородской области от 24 сентября 2007 года №150 «Об особенностях организации муниципальной службы в Белгородской области»;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</w:rPr>
        <w:t xml:space="preserve">             </w:t>
      </w:r>
      <w:r>
        <w:rPr>
          <w:rFonts w:eastAsia="Times New Roman" w:cs="Times New Roman" w:ascii="Times New Roman" w:hAnsi="Times New Roman"/>
          <w:sz w:val="28"/>
          <w:szCs w:val="28"/>
        </w:rPr>
        <w:t>4.</w:t>
      </w:r>
      <w:r>
        <w:rPr>
          <w:sz w:val="24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Постановление Правительства Белгородской области от 22 сентября 2025 года N442-пп «О внесении изменений в </w:t>
      </w:r>
      <w:r>
        <w:fldChar w:fldCharType="begin"/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instrText xml:space="preserve"> HYPERLINK "https://docs.cntd.ru/document/578137758" \l "64U0IK"</w:instrTex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постановление Правительства Белгородской области от 28 февраля 2022 года </w: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end"/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en-US" w:bidi="en-US"/>
        </w:rPr>
        <w:t>N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 103-пп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5. Устав Ровеньского муниципального округа Белгородской области.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 xml:space="preserve">Цель разработки проекта область применения: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Приведение решения 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Совета депутатов Ровеньского муниципального округа Белгородской области от 30 октября 2025 года №2/40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Положения о денежном содержании лиц, замещающих муниципальные должности, муниципальных служащих и работников органов местного самоуправления, занимающих должности, не являющиеся должностями муниципальной службы Ровеньского муниципального округа Белгородской области</w:t>
      </w:r>
      <w:r>
        <w:rPr>
          <w:rFonts w:eastAsia="Times New Roman" w:cs="Times New Roman" w:ascii="Times New Roman" w:hAnsi="Times New Roman"/>
          <w:bCs/>
          <w:color w:val="000000"/>
          <w:sz w:val="28"/>
          <w:shd w:fill="FFFFFF" w:val="clear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соответствие с действующим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  <w:t>Соответствие нормативным правовым актам: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1. Федеральный закон от 20 марта 2025 года № 33-ФЗ «Об общих принципах организации местного самоуправления в единой системе публичной власти»;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ab/>
        <w:t>2. Статья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22 Федерального Закона от 2 марта 2007 года №25-ФЗ «О муниципальной службе в Российской Федерации»;</w:t>
      </w:r>
    </w:p>
    <w:p>
      <w:pPr>
        <w:pStyle w:val="Normal"/>
        <w:tabs>
          <w:tab w:val="clear" w:pos="708"/>
          <w:tab w:val="left" w:pos="735" w:leader="none"/>
          <w:tab w:val="left" w:pos="5954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3. Статья 13 части 2 статьи 17 Закона Белгородской области от 24 сентября 2007 года №150 «Об особенностях организации муниципальной службы в Белгородской области»;</w:t>
      </w:r>
    </w:p>
    <w:p>
      <w:pPr>
        <w:pStyle w:val="Heading2"/>
        <w:shd w:val="clear" w:color="FFFFFF" w:fill="FFFFFF"/>
        <w:spacing w:lineRule="atLeast" w:line="283" w:before="0" w:after="20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sz w:val="24"/>
        </w:rPr>
        <w:t xml:space="preserve">         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4. Постановление Правительства Белгородской области от 22 сентября 2025 года N442-пп «О внесении изменений в </w:t>
      </w:r>
      <w:r>
        <w:fldChar w:fldCharType="begin"/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instrText xml:space="preserve"> HYPERLINK "https://docs.cntd.ru/document/578137758" \l "64U0IK"</w:instrTex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separate"/>
      </w:r>
      <w:r>
        <w:rPr>
          <w:rStyle w:val="Style"/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постановление Правительства Белгородской области от 28 февраля 2022 года </w:t>
      </w:r>
      <w:r>
        <w:rPr>
          <w:rStyle w:val="Style"/>
          <w:sz w:val="28"/>
          <w:u w:val="single"/>
          <w:szCs w:val="28"/>
          <w:rFonts w:eastAsia="Times New Roman" w:cs="Times New Roman" w:ascii="Times New Roman" w:hAnsi="Times New Roman"/>
          <w:color w:themeColor="text1" w:val="000000"/>
          <w:lang w:val="ru-RU" w:eastAsia="en-US" w:bidi="en-US"/>
        </w:rPr>
        <w:fldChar w:fldCharType="end"/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eastAsia="en-US" w:bidi="en-US"/>
        </w:rPr>
        <w:t>N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u w:val="single"/>
          <w:lang w:val="ru-RU" w:eastAsia="en-US" w:bidi="en-US"/>
        </w:rPr>
        <w:t xml:space="preserve"> 103-пп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»;</w:t>
      </w:r>
    </w:p>
    <w:p>
      <w:pPr>
        <w:pStyle w:val="Heading2"/>
        <w:shd w:val="clear" w:color="FFFFFF" w:fill="FFFFFF"/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>5. Устав Ровеньского муниципального округа Белгородской области.</w:t>
      </w:r>
    </w:p>
    <w:p>
      <w:pPr>
        <w:pStyle w:val="Normal"/>
        <w:spacing w:lineRule="atLeast" w:line="283" w:before="0" w:after="0"/>
        <w:ind w:firstLine="708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Основные положения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>азмеры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должностных окладов, ежемесячных и дополнительных выплат к должностным окладам работников обслуживающего персонала и работников, приравненных к условиям оплаты труда обслуживающего персонала органов местного самоуправления </w:t>
      </w:r>
      <w:r>
        <w:rPr>
          <w:rFonts w:eastAsia="Times New Roman" w:cs="Times New Roman" w:ascii="Times New Roman" w:hAnsi="Times New Roman"/>
          <w:sz w:val="28"/>
          <w:szCs w:val="28"/>
        </w:rPr>
        <w:t>Ровеньского муниципального округа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приложение №11)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изложить в новой редакции согласно приложению №1 к настоящему решению.</w:t>
      </w:r>
    </w:p>
    <w:p>
      <w:pPr>
        <w:pStyle w:val="Normal"/>
        <w:shd w:val="clear" w:color="FFFFFF" w:fill="auto"/>
        <w:spacing w:lineRule="auto" w:line="23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В структуре Администрации Ровеньского муниципального округа вводится следующая штатная единица:</w:t>
      </w:r>
    </w:p>
    <w:p>
      <w:pPr>
        <w:pStyle w:val="ListParagraph"/>
        <w:numPr>
          <w:ilvl w:val="0"/>
          <w:numId w:val="2"/>
        </w:numPr>
        <w:shd w:val="clear" w:color="FFFFFF" w:fill="auto"/>
        <w:spacing w:lineRule="auto" w:line="230" w:before="0" w:after="0"/>
        <w:ind w:firstLine="709" w:left="720"/>
        <w:contextualSpacing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Консультант отдела ЗАГС – 1 штатная единица.</w:t>
      </w:r>
    </w:p>
    <w:p>
      <w:pPr>
        <w:pStyle w:val="Normal"/>
        <w:shd w:val="clear" w:color="FFFFFF" w:fill="auto"/>
        <w:spacing w:lineRule="auto" w:line="23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eastAsia="Times New Roman" w:cs="Times New Roman" w:ascii="Times New Roman" w:hAnsi="Times New Roman"/>
          <w:color w:val="0F1115"/>
          <w:sz w:val="28"/>
        </w:rPr>
        <w:t>Должностные обязанности консультанта включают:</w:t>
      </w:r>
    </w:p>
    <w:p>
      <w:pPr>
        <w:pStyle w:val="ListParagraph"/>
        <w:numPr>
          <w:ilvl w:val="0"/>
          <w:numId w:val="4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Составление, оформление документов, их обработка и хранение</w:t>
      </w:r>
    </w:p>
    <w:p>
      <w:pPr>
        <w:pStyle w:val="ListParagraph"/>
        <w:numPr>
          <w:ilvl w:val="0"/>
          <w:numId w:val="4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Осуществление оказания  гражданам бесплатной юридической помощи  в виде правового консультирования в устной и письменной форме в части касающейся непосредственной деятельности.</w:t>
      </w:r>
    </w:p>
    <w:p>
      <w:pPr>
        <w:pStyle w:val="ListParagraph"/>
        <w:numPr>
          <w:ilvl w:val="0"/>
          <w:numId w:val="4"/>
        </w:numPr>
        <w:spacing w:lineRule="atLeast" w:line="283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Участие в проведении мероприятий по реализации семейной политики на территории района.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Срок вступления в силу и распространение действия: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Настоящее решение  вступает в силу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ВЫВОД: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Разработанный проект решения не содержит норм, противоречащих федеральному законодательству. Внутренних противоречий и пробелов не содержит, сфера регулирования за пределы полномочий не выходит.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Нарушений правил юридической техники при проведении экспертизы не установлено. Коррупционных факторов в решении не содержится.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Учитывая изложенное, полагаю, представленный проект решения соответствует законодательству РФ.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  <w:szCs w:val="28"/>
        </w:rPr>
      </w:pPr>
      <w:r>
        <w:rPr>
          <w:rFonts w:eastAsia="Times New Roman" w:cs="Times New Roman" w:ascii="Times New Roman" w:hAnsi="Times New Roman"/>
          <w:b/>
          <w:sz w:val="26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  <w:szCs w:val="28"/>
        </w:rPr>
        <w:t xml:space="preserve">Заключение составил: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eastAsia="Times New Roman" w:cs="Times New Roman" w:ascii="Times New Roman" w:hAnsi="Times New Roman"/>
          <w:sz w:val="26"/>
        </w:rPr>
      </w:r>
    </w:p>
    <w:p>
      <w:pPr>
        <w:pStyle w:val="Normal"/>
        <w:spacing w:lineRule="auto" w:line="240" w:before="0" w:after="0"/>
        <w:ind w:firstLine="993" w:left="-993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Начальник управления по обеспечению</w:t>
      </w:r>
    </w:p>
    <w:p>
      <w:pPr>
        <w:pStyle w:val="Normal"/>
        <w:spacing w:lineRule="auto" w:line="240" w:before="0" w:after="0"/>
        <w:ind w:firstLine="993" w:left="-993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организационно-правовой деятельности</w:t>
      </w:r>
    </w:p>
    <w:p>
      <w:pPr>
        <w:pStyle w:val="Normal"/>
        <w:spacing w:lineRule="auto" w:line="240" w:before="0" w:after="0"/>
        <w:ind w:firstLine="993" w:left="-993"/>
        <w:rPr>
          <w:rFonts w:ascii="Times New Roman" w:hAnsi="Times New Roman" w:eastAsia="Times New Roman" w:cs="Times New Roman"/>
          <w:b/>
          <w:sz w:val="26"/>
        </w:rPr>
      </w:pPr>
      <w:r>
        <w:rPr>
          <w:rFonts w:eastAsia="Times New Roman" w:cs="Times New Roman" w:ascii="Times New Roman" w:hAnsi="Times New Roman"/>
          <w:b/>
          <w:sz w:val="26"/>
        </w:rPr>
        <w:t>Администрации Ровеньского муниципального округа</w:t>
      </w:r>
      <w:r>
        <w:rPr>
          <w:rFonts w:eastAsia="Times New Roman" w:cs="Times New Roman" w:ascii="Times New Roman" w:hAnsi="Times New Roman"/>
          <w:b/>
          <w:sz w:val="26"/>
          <w:szCs w:val="28"/>
        </w:rPr>
        <w:t xml:space="preserve">                  А. А. Соловьёва</w:t>
      </w:r>
    </w:p>
    <w:p>
      <w:pPr>
        <w:pStyle w:val="Normal"/>
        <w:spacing w:lineRule="atLeast" w:line="283" w:before="0" w:after="16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alatino Linotype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isLgl/>
      <w:numFmt w:val="bullet"/>
      <w:lvlText w:val="–"/>
      <w:lvlJc w:val="left"/>
      <w:pPr>
        <w:tabs>
          <w:tab w:val="num" w:pos="0"/>
        </w:tabs>
        <w:ind w:left="1418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–"/>
      <w:lvlJc w:val="left"/>
      <w:pPr>
        <w:tabs>
          <w:tab w:val="num" w:pos="0"/>
        </w:tabs>
        <w:ind w:left="1418" w:hanging="360"/>
      </w:pPr>
      <w:rPr>
        <w:rFonts w:ascii="Arial" w:hAnsi="Arial" w:cs="Arial" w:hint="default"/>
      </w:rPr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2138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858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3578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4298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5018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738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6458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717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11" w:customStyle="1">
    <w:name w:val="Гиперссылка1"/>
    <w:qFormat/>
    <w:rPr>
      <w:color w:val="000080"/>
      <w:u w:val="single"/>
      <w:lang w:val="en-US" w:eastAsia="en-US" w:bidi="en-US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11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uiPriority w:val="99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12" w:customStyle="1">
    <w:name w:val="Основной текст1"/>
    <w:qFormat/>
    <w:rPr>
      <w:rFonts w:ascii="Palatino Linotype" w:hAnsi="Palatino Linotype" w:eastAsia="Palatino Linotype" w:cs="Palatino Linotyp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lang w:val="ru-RU" w:eastAsia="ru-RU" w:bidi="ru-RU"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6" w:customStyle="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user2"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0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ListParagraph"/>
    <w:uiPriority w:val="99"/>
    <w:semiHidden/>
    <w:unhideWhenUsed/>
    <w:qFormat/>
    <w:pPr>
      <w:spacing w:before="0" w:after="160"/>
      <w:ind w:left="0"/>
      <w:contextualSpacing w:val="false"/>
    </w:pPr>
    <w:rPr>
      <w:rFonts w:ascii="Times New Roman" w:hAnsi="Times New Roman" w:eastAsia="Arial" w:cs="Times New Roman" w:eastAsiaTheme="minorEastAsia"/>
      <w:sz w:val="24"/>
      <w:szCs w:val="24"/>
      <w:lang w:eastAsia="ru-RU"/>
    </w:rPr>
  </w:style>
  <w:style w:type="paragraph" w:styleId="13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17" w:customStyle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auto"/>
      </w:tcPr>
    </w:tblStylePr>
    <w:tblStylePr w:type="band1Horz">
      <w:rPr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auto"/>
      </w:tcPr>
    </w:tblStylePr>
    <w:tblStylePr w:type="band1Horz">
      <w:rPr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auto"/>
      </w:tcPr>
    </w:tblStylePr>
    <w:tblStylePr w:type="band1Horz">
      <w:rPr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auto"/>
      </w:tcPr>
    </w:tblStylePr>
    <w:tblStylePr w:type="firstCol">
      <w:rPr>
        <w:b/>
        <w:sz w:val="22"/>
      </w:rPr>
      <w:tblPr/>
      <w:tcPr>
        <w:shd w:val="clear" w:color="000000" w:fill="auto"/>
      </w:tcPr>
    </w:tblStylePr>
    <w:tblStylePr w:type="lastCol">
      <w:rPr>
        <w:b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auto"/>
      </w:tcPr>
    </w:tblStylePr>
    <w:tblStylePr w:type="firstCol">
      <w:rPr>
        <w:b/>
        <w:sz w:val="22"/>
      </w:rPr>
      <w:tblPr/>
      <w:tcPr>
        <w:shd w:val="clear" w:color="5B9BD5" w:fill="auto"/>
      </w:tcPr>
    </w:tblStylePr>
    <w:tblStylePr w:type="lastCol">
      <w:rPr>
        <w:b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auto"/>
      </w:tcPr>
    </w:tblStylePr>
    <w:tblStylePr w:type="firstCol">
      <w:rPr>
        <w:b/>
        <w:sz w:val="22"/>
      </w:rPr>
      <w:tblPr/>
      <w:tcPr>
        <w:shd w:val="clear" w:color="ED7D31" w:fill="auto"/>
      </w:tcPr>
    </w:tblStylePr>
    <w:tblStylePr w:type="lastCol">
      <w:rPr>
        <w:b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uto"/>
      </w:tcPr>
    </w:tblStylePr>
    <w:tblStylePr w:type="firstCol">
      <w:rPr>
        <w:b/>
        <w:sz w:val="22"/>
      </w:rPr>
      <w:tblPr/>
      <w:tcPr>
        <w:shd w:val="clear" w:color="A5A5A5" w:fill="auto"/>
      </w:tcPr>
    </w:tblStylePr>
    <w:tblStylePr w:type="lastCol">
      <w:rPr>
        <w:b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auto"/>
      </w:tcPr>
    </w:tblStylePr>
    <w:tblStylePr w:type="firstCol">
      <w:rPr>
        <w:b/>
        <w:sz w:val="22"/>
      </w:rPr>
      <w:tblPr/>
      <w:tcPr>
        <w:shd w:val="clear" w:color="FFC000" w:fill="auto"/>
      </w:tcPr>
    </w:tblStylePr>
    <w:tblStylePr w:type="lastCol">
      <w:rPr>
        <w:b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auto"/>
      </w:tcPr>
    </w:tblStylePr>
    <w:tblStylePr w:type="firstCol">
      <w:rPr>
        <w:b/>
        <w:sz w:val="22"/>
      </w:rPr>
      <w:tblPr/>
      <w:tcPr>
        <w:shd w:val="clear" w:color="4472C4" w:fill="auto"/>
      </w:tcPr>
    </w:tblStylePr>
    <w:tblStylePr w:type="lastCol">
      <w:rPr>
        <w:b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auto"/>
      </w:tcPr>
    </w:tblStylePr>
    <w:tblStylePr w:type="firstCol">
      <w:rPr>
        <w:b/>
        <w:sz w:val="22"/>
      </w:rPr>
      <w:tblPr/>
      <w:tcPr>
        <w:shd w:val="clear" w:color="70AD47" w:fill="auto"/>
      </w:tcPr>
    </w:tblStylePr>
    <w:tblStylePr w:type="lastCol">
      <w:rPr>
        <w:b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auto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4B18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9C9C9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D86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DA9DB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9D08E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auto"/>
      </w:tcPr>
    </w:tblStylePr>
    <w:tblStylePr w:type="band1Horz">
      <w:rPr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5B9BD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auto"/>
      </w:tcPr>
    </w:tblStylePr>
    <w:tblStylePr w:type="band1Horz">
      <w:rPr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ED7D31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auto"/>
      </w:tcPr>
    </w:tblStylePr>
    <w:tblStylePr w:type="band1Horz">
      <w:rPr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5A5A5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auto"/>
      </w:tcPr>
    </w:tblStylePr>
    <w:tblStylePr w:type="band1Horz">
      <w:rPr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C000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auto"/>
      </w:tcPr>
    </w:tblStylePr>
    <w:tblStylePr w:type="band1Horz">
      <w:rPr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472C4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auto"/>
      </w:tcPr>
    </w:tblStylePr>
    <w:tblStylePr w:type="band1Horz">
      <w:rPr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70AD47" w:fill="auto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auto"/>
      </w:tcPr>
    </w:tblStylePr>
    <w:tblStylePr w:type="band1Horz">
      <w:rPr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uto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uto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auto"/>
      </w:tcPr>
    </w:tblStylePr>
    <w:tblStylePr w:type="band1Horz">
      <w:rPr>
        <w:color w:themeColor="text1"/>
        <w:sz w:val="22"/>
      </w:rPr>
      <w:tblPr/>
      <w:tcPr>
        <w:shd w:val="clear" w:color="BFBFBF" w:fill="auto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auto"/>
      </w:tcPr>
    </w:tblStylePr>
    <w:tblStylePr w:type="lastRow">
      <w:rPr>
        <w:sz w:val="22"/>
      </w:rPr>
      <w:tblPr/>
      <w:tcPr>
        <w:shd w:val="clear" w:color="7F7F7F" w:fill="auto"/>
      </w:tcPr>
    </w:tblStylePr>
    <w:tblStylePr w:type="firstCol">
      <w:rPr>
        <w:sz w:val="22"/>
      </w:rPr>
      <w:tblPr/>
      <w:tcPr>
        <w:shd w:val="clear" w:color="7F7F7F" w:fill="auto"/>
      </w:tcPr>
    </w:tblStylePr>
    <w:tblStylePr w:type="lastCol">
      <w:rPr>
        <w:sz w:val="22"/>
      </w:rPr>
      <w:tblPr/>
      <w:tcPr>
        <w:shd w:val="clear" w:color="7F7F7F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68A2D8" w:fill="auto"/>
      </w:tcPr>
    </w:tblStylePr>
    <w:tblStylePr w:type="lastRow">
      <w:rPr>
        <w:sz w:val="22"/>
      </w:rPr>
      <w:tblPr/>
      <w:tcPr>
        <w:shd w:val="clear" w:color="68A2D8" w:fill="auto"/>
      </w:tcPr>
    </w:tblStylePr>
    <w:tblStylePr w:type="firstCol">
      <w:rPr>
        <w:sz w:val="22"/>
      </w:rPr>
      <w:tblPr/>
      <w:tcPr>
        <w:shd w:val="clear" w:color="68A2D8" w:fill="auto"/>
      </w:tcPr>
    </w:tblStylePr>
    <w:tblStylePr w:type="lastCol">
      <w:rPr>
        <w:sz w:val="22"/>
      </w:rPr>
      <w:tblPr/>
      <w:tcPr>
        <w:shd w:val="clear" w:color="68A2D8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4B184" w:fill="auto"/>
      </w:tcPr>
    </w:tblStylePr>
    <w:tblStylePr w:type="lastRow">
      <w:rPr>
        <w:sz w:val="22"/>
      </w:rPr>
      <w:tblPr/>
      <w:tcPr>
        <w:shd w:val="clear" w:color="F4B184" w:fill="auto"/>
      </w:tcPr>
    </w:tblStylePr>
    <w:tblStylePr w:type="firstCol">
      <w:rPr>
        <w:sz w:val="22"/>
      </w:rPr>
      <w:tblPr/>
      <w:tcPr>
        <w:shd w:val="clear" w:color="F4B184" w:fill="auto"/>
      </w:tcPr>
    </w:tblStylePr>
    <w:tblStylePr w:type="lastCol">
      <w:rPr>
        <w:sz w:val="22"/>
      </w:rPr>
      <w:tblPr/>
      <w:tcPr>
        <w:shd w:val="clear" w:color="F4B18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A5A5A5" w:fill="auto"/>
      </w:tcPr>
    </w:tblStylePr>
    <w:tblStylePr w:type="lastRow">
      <w:rPr>
        <w:sz w:val="22"/>
      </w:rPr>
      <w:tblPr/>
      <w:tcPr>
        <w:shd w:val="clear" w:color="A5A5A5" w:fill="auto"/>
      </w:tcPr>
    </w:tblStylePr>
    <w:tblStylePr w:type="firstCol">
      <w:rPr>
        <w:sz w:val="22"/>
      </w:rPr>
      <w:tblPr/>
      <w:tcPr>
        <w:shd w:val="clear" w:color="A5A5A5" w:fill="auto"/>
      </w:tcPr>
    </w:tblStylePr>
    <w:tblStylePr w:type="lastCol">
      <w:rPr>
        <w:sz w:val="22"/>
      </w:rPr>
      <w:tblPr/>
      <w:tcPr>
        <w:shd w:val="clear" w:color="A5A5A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D865" w:fill="auto"/>
      </w:tcPr>
    </w:tblStylePr>
    <w:tblStylePr w:type="lastRow">
      <w:rPr>
        <w:sz w:val="22"/>
      </w:rPr>
      <w:tblPr/>
      <w:tcPr>
        <w:shd w:val="clear" w:color="FFD865" w:fill="auto"/>
      </w:tcPr>
    </w:tblStylePr>
    <w:tblStylePr w:type="firstCol">
      <w:rPr>
        <w:sz w:val="22"/>
      </w:rPr>
      <w:tblPr/>
      <w:tcPr>
        <w:shd w:val="clear" w:color="FFD865" w:fill="auto"/>
      </w:tcPr>
    </w:tblStylePr>
    <w:tblStylePr w:type="lastCol">
      <w:rPr>
        <w:sz w:val="22"/>
      </w:rPr>
      <w:tblPr/>
      <w:tcPr>
        <w:shd w:val="clear" w:color="FFD865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472C4" w:fill="auto"/>
      </w:tcPr>
    </w:tblStylePr>
    <w:tblStylePr w:type="lastRow">
      <w:rPr>
        <w:sz w:val="22"/>
      </w:rPr>
      <w:tblPr/>
      <w:tcPr>
        <w:shd w:val="clear" w:color="4472C4" w:fill="auto"/>
      </w:tcPr>
    </w:tblStylePr>
    <w:tblStylePr w:type="firstCol">
      <w:rPr>
        <w:sz w:val="22"/>
      </w:rPr>
      <w:tblPr/>
      <w:tcPr>
        <w:shd w:val="clear" w:color="4472C4" w:fill="auto"/>
      </w:tcPr>
    </w:tblStylePr>
    <w:tblStylePr w:type="lastCol">
      <w:rPr>
        <w:sz w:val="22"/>
      </w:rPr>
      <w:tblPr/>
      <w:tcPr>
        <w:shd w:val="clear" w:color="4472C4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0AD47" w:fill="auto"/>
      </w:tcPr>
    </w:tblStylePr>
    <w:tblStylePr w:type="lastRow">
      <w:rPr>
        <w:sz w:val="22"/>
      </w:rPr>
      <w:tblPr/>
      <w:tcPr>
        <w:shd w:val="clear" w:color="70AD47" w:fill="auto"/>
      </w:tcPr>
    </w:tblStylePr>
    <w:tblStylePr w:type="firstCol">
      <w:rPr>
        <w:sz w:val="22"/>
      </w:rPr>
      <w:tblPr/>
      <w:tcPr>
        <w:shd w:val="clear" w:color="70AD47" w:fill="auto"/>
      </w:tcPr>
    </w:tblStylePr>
    <w:tblStylePr w:type="lastCol">
      <w:rPr>
        <w:sz w:val="22"/>
      </w:rPr>
      <w:tblPr/>
      <w:tcPr>
        <w:shd w:val="clear" w:color="70AD47" w:fill="auto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auto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LibreOffice/25.2.3.2$Linux_X86_64 LibreOffice_project/520$Build-2</Application>
  <AppVersion>15.0000</AppVersion>
  <Pages>8</Pages>
  <Words>1484</Words>
  <Characters>10543</Characters>
  <CharactersWithSpaces>12205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2025-10-29T17:04:00Z</dcterms:created>
  <dc:creator>Пушкина Яна Анатольевна</dc:creator>
  <dc:description/>
  <dc:language>ru-RU</dc:language>
  <cp:lastModifiedBy/>
  <cp:lastPrinted>2026-03-26T14:49:50Z</cp:lastPrinted>
  <dcterms:modified xsi:type="dcterms:W3CDTF">2026-03-31T17:04:11Z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