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cs="Tahoma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/>
      </w:pPr>
      <w:r>
        <w:rPr>
          <w:rFonts w:eastAsia="Times New Roman"/>
          <w:sz w:val="28"/>
        </w:rPr>
        <w:t>БЕЛГОРОДСКОЙ ОБЛАСТИ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/>
      </w:pPr>
      <w:r>
        <w:rPr/>
      </w:r>
    </w:p>
    <w:p>
      <w:pPr>
        <w:pStyle w:val="Normal"/>
        <w:spacing w:lineRule="atLeast" w:line="102" w:beforeAutospacing="1" w:after="198"/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>
        <w:rPr>
          <w:sz w:val="28"/>
          <w:szCs w:val="28"/>
        </w:rPr>
        <w:t>2026 года</w:t>
        <w:tab/>
        <w:tab/>
        <w:tab/>
        <w:tab/>
        <w:tab/>
        <w:t xml:space="preserve">                                      №</w:t>
      </w:r>
      <w:r>
        <w:rPr>
          <w:sz w:val="28"/>
          <w:szCs w:val="28"/>
        </w:rPr>
        <w:t>11/171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 Совета депутатов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Ровеньского муниципального округа Белгородской области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 26.12.2025 г. № 5/115 «Об установлении ставок арендной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платы за использование земель сельскохозяйственного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назначения,  находящихся в муниципальной 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собственности  Ровеньского муниципального </w:t>
      </w:r>
    </w:p>
    <w:p>
      <w:pPr>
        <w:pStyle w:val="ConsPlusTitle"/>
        <w:spacing w:lineRule="auto" w:line="221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округа Белгородской области»</w:t>
      </w:r>
    </w:p>
    <w:p>
      <w:pPr>
        <w:pStyle w:val="Normal"/>
        <w:spacing w:lineRule="auto" w:line="22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Земельным кодексом Российской Федерации, Постановлением Правительства Российской Федерации от 16 июля 2009 года N582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постановлением Правительства Белгородской области от 10 февраля 2006 года N 36-пп "О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области", постановлением Правительства Белгородской области от 5 ноября 2019 года N479-пп "Об установлении ставок арендной платы за использование земель сельскохозяйственного назначения, находящиеся в государственной собственности Белгородской области и государственная собственность на которые не разграничена", постановлением Правительства Белгородской области от 29.12.2025 года № 661-пп «О внесении изменений в постановление Правительства Белгородской области от 05.11.2019 года № 479-пп», Уставом Ровеньского муниципального округа Белгородской области, в целях приведения в соответствие с действующим законодательством порядка расчета размера арендной платы, Совет депутатов Ровеньского муниципального округа Белгородской области </w:t>
      </w:r>
      <w:r>
        <w:rPr>
          <w:rFonts w:eastAsia="Times New Roman"/>
          <w:b/>
          <w:bCs/>
          <w:sz w:val="28"/>
          <w:szCs w:val="28"/>
        </w:rPr>
        <w:t>решил</w:t>
      </w:r>
      <w:r>
        <w:rPr>
          <w:rFonts w:eastAsia="Times New Roman"/>
          <w:sz w:val="28"/>
          <w:szCs w:val="28"/>
        </w:rPr>
        <w:t xml:space="preserve">: 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Внести следующие изменения в решение Совета депутатов  Ровеньского муниципального округа Белгородской области  от 26.12.2025 г. № 5/115 «Об установлении ставок арендной  платы за использование земель сельскохозяйственного назначения,  находящихся в муниципальной собственности  Ровеньского муниципального округа Белгородской области»: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пункты 4-6 решения исключить;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дополнить решение пунктами 4 - 8 следующего содержания: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"4. Определить, что ставки арендной платы, установленные в пунктах 1, 2 настоящего решения, применяются к договорам аренды земельных участков, находящихся в муниципальной собственности Ровеньского муниципального округа, заключенным до 1 января 2026 года."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Установить ставку арендной платы за использование земель сельскохозяйственного назначения, находящихся в муниципальной собственности Ровеньского муниципального округа, представленных видами угодий "пашня" (за исключением пашни, занятой многолетними травами, расположенными на склонах крутизной более 3 градусов), в размере 2,56 процента от кадастровой стоимости земельного участка, применяемую в соответствии с порядком, установленным нормативными правовыми актами Правительства области.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Установить ставку арендной платы за использование земель сельскохозяйственного назначения, находящихся в муниципальной собственности Ровеньского муниципального округа, представленных видами угодий "многолетние насаждения", а также земельных участков с установленным видом разрешенного использования "садоводство", занятых многолетними плодово-ягодными насаждениями (садами, виноградниками, ягодными и орехоплодными насаждениями), вступившими в полное плодоношение и введенными в эксплуатацию, в размере 2,5 процента от кадастровой стоимости земельного участка, применяемую в соответствии с порядком, установленным нормативными правовыми актами Правительства области.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bookmarkStart w:id="0" w:name="undefined"/>
      <w:bookmarkEnd w:id="0"/>
      <w:r>
        <w:rPr>
          <w:rFonts w:eastAsia="Times New Roman"/>
          <w:sz w:val="28"/>
          <w:szCs w:val="28"/>
        </w:rPr>
        <w:t>7. Установить ставку арендной платы за использование земель сельскохозяйственного назначения, находящихся в муниципальной собственности Ровеньского муниципального округа, представленных видом угодий "многолетние насаждения", и (или) земельных участков с установленным видом разрешенного использования "садоводство", предоставленных для выращивания и (или) занятых многолетними плодово-ягодными насаждениями (садами, виноградниками, ягодными и орехоплодными насаждениями), не вступившими в полное плодоношение и не введенными в эксплуатацию, в размере 1,1 процента от кадастровой стоимости земельного участка, применяемую в соответствии с порядком, установленным нормативными правовыми актами Правительства области.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 Определить, что ставки арендной платы, установленные в пунктах 5 - 7 настоящего решения, применяются к договорам аренды земельных участков, находящихся в муниципальной собственности Ровеньского муниципального округа, заключенным после 1 января 2026 года.»;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hyperlink r:id="rId3" w:tooltip="Постановление Правительства Белгородской обл. от 05.11.2019 N 479-пп (ред. от 25.06.2025) &quot;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">
        <w:r>
          <w:rPr>
            <w:rStyle w:val="Style"/>
            <w:rFonts w:eastAsia="Times New Roman"/>
            <w:sz w:val="28"/>
            <w:szCs w:val="28"/>
          </w:rPr>
          <w:t xml:space="preserve">пункты 7-10 </w:t>
        </w:r>
      </w:hyperlink>
      <w:r>
        <w:rPr>
          <w:rFonts w:eastAsia="Times New Roman"/>
          <w:sz w:val="28"/>
          <w:szCs w:val="28"/>
        </w:rPr>
        <w:t>решения считать пунктами 9-12 соответственно.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 w:val="28"/>
          <w:szCs w:val="28"/>
        </w:rPr>
        <w:t>﻿</w:t>
      </w:r>
      <w:r>
        <w:rPr>
          <w:rFonts w:eastAsia="Times New Roman"/>
          <w:sz w:val="28"/>
          <w:szCs w:val="28"/>
        </w:rPr>
        <w:t>2. 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(</w:t>
      </w:r>
      <w:hyperlink r:id="rId4" w:tooltip="https://rovenkiadm.gosuslugi.ru/">
        <w:r>
          <w:rPr>
            <w:rStyle w:val="Style"/>
            <w:rFonts w:eastAsia="Times New Roman"/>
            <w:sz w:val="28"/>
            <w:szCs w:val="28"/>
          </w:rPr>
          <w:t>https://rovenkiadm.gosuslugi.ru</w:t>
        </w:r>
      </w:hyperlink>
      <w:r>
        <w:rPr>
          <w:rFonts w:eastAsia="Times New Roman"/>
          <w:sz w:val="28"/>
          <w:szCs w:val="28"/>
        </w:rPr>
        <w:t>).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 xml:space="preserve">3. </w:t>
      </w:r>
      <w:r>
        <w:rPr>
          <w:rFonts w:eastAsia="Times New Roman" w:cs="Times New Roman"/>
          <w:color w:val="0F1115"/>
          <w:sz w:val="28"/>
        </w:rPr>
        <w:t>Настоящее решение вступает в силу с момента его подписания и распространяется на правоотношения возникшие с 01.01.2026 года</w:t>
      </w:r>
      <w:r>
        <w:rPr>
          <w:rFonts w:eastAsia="Times New Roman"/>
          <w:sz w:val="28"/>
          <w:szCs w:val="28"/>
        </w:rPr>
        <w:t>.</w:t>
      </w:r>
    </w:p>
    <w:p>
      <w:pPr>
        <w:pStyle w:val="ConsPlusNormal"/>
        <w:widowControl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Контроль за выполнением решения возложить на постоянную комиссию Совета депутатов Ровеньского муниципального округа Белгородской области </w:t>
      </w:r>
      <w:r>
        <w:rPr>
          <w:rFonts w:eastAsia="Times New Roman"/>
          <w:sz w:val="28"/>
          <w:szCs w:val="28"/>
          <w:highlight w:val="white"/>
        </w:rPr>
        <w:t>по муниципальной собственности, бюджетной и экономической  политике</w:t>
      </w:r>
      <w:r>
        <w:rPr>
          <w:rFonts w:eastAsia="Times New Roman"/>
          <w:sz w:val="28"/>
          <w:szCs w:val="28"/>
        </w:rPr>
        <w:t>.</w:t>
      </w:r>
    </w:p>
    <w:p>
      <w:pPr>
        <w:pStyle w:val="ConsPlusNormal"/>
        <w:spacing w:before="0" w:after="0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Белгородской области                                                                  В.А. Некрасов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spacing w:lineRule="auto" w:line="22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округа Белгородской области                                                   Т.В. Киричкова</w:t>
      </w:r>
    </w:p>
    <w:p>
      <w:pPr>
        <w:pStyle w:val="ConsPlusNormal"/>
        <w:numPr>
          <w:ilvl w:val="0"/>
          <w:numId w:val="0"/>
        </w:numPr>
        <w:spacing w:before="0" w:after="0"/>
        <w:ind w:hanging="0" w:left="0"/>
        <w:contextualSpacing/>
        <w:jc w:val="right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/>
        <w:contextualSpacing/>
        <w:jc w:val="right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395" w:right="686" w:gutter="0" w:header="0" w:top="94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Style8" w:customStyle="1">
    <w:name w:val="Заголовок"/>
    <w:basedOn w:val="Normal"/>
    <w:next w:val="1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1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1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user3" w:customStyle="1">
    <w:name w:val="Указатель (user)"/>
    <w:basedOn w:val="Normal"/>
    <w:qFormat/>
    <w:pPr>
      <w:suppressLineNumbers/>
    </w:pPr>
    <w:rPr>
      <w:rFonts w:ascii="PT Astra Serif" w:hAnsi="PT Astra Serif"/>
    </w:rPr>
  </w:style>
  <w:style w:type="paragraph" w:styleId="1" w:customStyle="1">
    <w:name w:val="Основной текст1"/>
    <w:basedOn w:val="Normal"/>
    <w:qFormat/>
    <w:pPr>
      <w:spacing w:lineRule="auto" w:line="276" w:before="0" w:after="140"/>
    </w:pPr>
    <w:rPr>
      <w:rFonts w:ascii="Liberation Serif" w:hAnsi="Liberation Serif" w:eastAsia="Droid Sans Fallback" w:cs="Droid Sans Devanagari"/>
      <w:sz w:val="24"/>
      <w:szCs w:val="24"/>
      <w:lang w:eastAsia="zh-CN" w:bidi="hi-IN"/>
    </w:rPr>
  </w:style>
  <w:style w:type="paragraph" w:styleId="IndexHeading">
    <w:name w:val="index heading"/>
    <w:basedOn w:val="user2"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FreeSans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oto Serif CJK SC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oto Serif CJK SC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Noto Serif CJK SC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10">
    <w:name w:val="Обычный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77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75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7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7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7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77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2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3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4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5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6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7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4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6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7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8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9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0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0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03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CE6F2" w:fill="DCE6F2"/>
      </w:tcPr>
    </w:tblStylePr>
    <w:tblStylePr w:type="band1Vert">
      <w:rPr>
        <w:sz w:val="22"/>
      </w:rPr>
      <w:tblPr/>
      <w:tcPr>
        <w:shd w:val="clear" w:color="DCE6F2" w:fill="DCE6F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804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05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06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07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08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0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8A8A8A" w:fill="8A8A8A"/>
      </w:tcPr>
    </w:tblStylePr>
    <w:tblStylePr w:type="band1Vert">
      <w:tblPr/>
      <w:tcPr>
        <w:shd w:val="clear" w:color="8A8A8A" w:fill="8A8A8A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/>
      </w:tcPr>
    </w:tblStylePr>
  </w:style>
  <w:style w:type="table" w:customStyle="1" w:styleId="810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EC4E0" w:fill="AEC4E0"/>
      </w:tcPr>
    </w:tblStylePr>
    <w:tblStylePr w:type="band1Vert">
      <w:tblPr/>
      <w:tcPr>
        <w:shd w:val="clear" w:color="AEC4E0" w:fill="AEC4E0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/>
      </w:tcPr>
    </w:tblStylePr>
  </w:style>
  <w:style w:type="table" w:customStyle="1" w:styleId="81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2AEAD" w:fill="E2AEAD"/>
      </w:tcPr>
    </w:tblStylePr>
    <w:tblStylePr w:type="band1Vert">
      <w:tblPr/>
      <w:tcPr>
        <w:shd w:val="clear" w:color="E2AEAD" w:fill="E2AEA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/>
      </w:tcPr>
    </w:tblStylePr>
  </w:style>
  <w:style w:type="table" w:customStyle="1" w:styleId="812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0DFB2" w:fill="D0DFB2"/>
      </w:tcPr>
    </w:tblStylePr>
    <w:tblStylePr w:type="band1Vert">
      <w:tblPr/>
      <w:tcPr>
        <w:shd w:val="clear" w:color="D0DFB2" w:fill="D0DFB2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/>
      </w:tcPr>
    </w:tblStylePr>
  </w:style>
  <w:style w:type="table" w:customStyle="1" w:styleId="813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C4B7D4" w:fill="C4B7D4"/>
      </w:tcPr>
    </w:tblStylePr>
    <w:tblStylePr w:type="band1Vert">
      <w:tblPr/>
      <w:tcPr>
        <w:shd w:val="clear" w:color="C4B7D4" w:fill="C4B7D4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/>
      </w:tcPr>
    </w:tblStylePr>
  </w:style>
  <w:style w:type="table" w:customStyle="1" w:styleId="814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ACD8E4" w:fill="ACD8E4"/>
      </w:tcPr>
    </w:tblStylePr>
    <w:tblStylePr w:type="band1Vert">
      <w:tblPr/>
      <w:tcPr>
        <w:shd w:val="clear" w:color="ACD8E4" w:fill="ACD8E4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/>
      </w:tcPr>
    </w:tblStylePr>
  </w:style>
  <w:style w:type="table" w:customStyle="1" w:styleId="815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BCEAA" w:fill="FBCEAA"/>
      </w:tcPr>
    </w:tblStylePr>
    <w:tblStylePr w:type="band1Vert">
      <w:tblPr/>
      <w:tcPr>
        <w:shd w:val="clear" w:color="FBCEAA" w:fill="FBCEAA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/>
      </w:tcPr>
    </w:tblStylePr>
  </w:style>
  <w:style w:type="table" w:customStyle="1" w:styleId="81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CBCBCB" w:fill="CBCBCB"/>
      </w:tcPr>
    </w:tblStylePr>
    <w:tblStylePr w:type="band1Vert">
      <w:tblPr/>
      <w:tcPr>
        <w:shd w:val="clear" w:color="CBCBCB" w:fill="CBCBCB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17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18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19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20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2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22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2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4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5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6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7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8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29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3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2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3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4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5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6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8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39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40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4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42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43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84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5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0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2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3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4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5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6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7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9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0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2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3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4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6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67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68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69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70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7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87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3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4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5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6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7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8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</w:style>
  <w:style w:type="table" w:customStyle="1" w:styleId="879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</w:style>
  <w:style w:type="table" w:customStyle="1" w:styleId="880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</w:style>
  <w:style w:type="table" w:customStyle="1" w:styleId="88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</w:style>
  <w:style w:type="table" w:customStyle="1" w:styleId="882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</w:style>
  <w:style w:type="table" w:customStyle="1" w:styleId="883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</w:style>
  <w:style w:type="table" w:customStyle="1" w:styleId="884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</w:style>
  <w:style w:type="table" w:customStyle="1" w:styleId="885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</w:style>
  <w:style w:type="table" w:customStyle="1" w:styleId="886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</w:style>
  <w:style w:type="table" w:customStyle="1" w:styleId="887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</w:style>
  <w:style w:type="table" w:customStyle="1" w:styleId="888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</w:style>
  <w:style w:type="table" w:customStyle="1" w:styleId="889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</w:style>
  <w:style w:type="table" w:customStyle="1" w:styleId="890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</w:style>
  <w:style w:type="table" w:customStyle="1" w:styleId="891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</w:style>
  <w:style w:type="table" w:customStyle="1" w:styleId="892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</w:style>
  <w:style w:type="table" w:customStyle="1" w:styleId="893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94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95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96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97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98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99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RLAW404&amp;n=105445&amp;date=23.01.2026&amp;dst=100014&amp;field=134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LibreOffice/25.2.3.2$Linux_X86_64 LibreOffice_project/520$Build-2</Application>
  <AppVersion>15.0000</AppVersion>
  <Pages>3</Pages>
  <Words>635</Words>
  <Characters>4889</Characters>
  <CharactersWithSpaces>5650</CharactersWithSpaces>
  <Paragraphs>31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2025-11-17T07:18:00Z</dcterms:created>
  <dc:creator/>
  <dc:description/>
  <dc:language>ru-RU</dc:language>
  <cp:lastModifiedBy/>
  <cp:lastPrinted>2026-04-28T08:12:13Z</cp:lastPrinted>
  <dcterms:modified xsi:type="dcterms:W3CDTF">2026-04-28T15:25:43Z</dcterms:modified>
  <cp:revision>29</cp:revision>
  <dc:subject/>
  <dc:title>Решение Совета депутатов Губкинского городского округа Белгородской обл. от 27.08.2025 N 4-нпа
"Об утверждении Положения о муниципальном земельном контроле на территории Губкинского городского округа Белгородской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