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  <w:sz w:val="32"/>
          <w:szCs w:val="32"/>
          <w:lang w:val="en-US"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lang w:val="en-US" w:bidi="en-US"/>
        </w:rPr>
      </w:pPr>
      <w:r>
        <w:rPr>
          <w:color w:val="000000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uppressAutoHyphens w:val="true"/>
        <w:spacing w:lineRule="atLeast" w:line="102" w:before="280" w:after="198"/>
        <w:jc w:val="both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24 апреля </w:t>
      </w:r>
      <w:r>
        <w:rPr>
          <w:rFonts w:eastAsia="Calibri"/>
          <w:b/>
          <w:bCs/>
          <w:sz w:val="28"/>
          <w:szCs w:val="28"/>
          <w:lang w:eastAsia="en-US"/>
        </w:rPr>
        <w:t xml:space="preserve"> 2026 года</w:t>
        <w:tab/>
        <w:t xml:space="preserve">     </w:t>
        <w:tab/>
        <w:tab/>
        <w:tab/>
        <w:tab/>
        <w:tab/>
        <w:tab/>
        <w:t xml:space="preserve">                №</w:t>
      </w:r>
      <w:r>
        <w:rPr>
          <w:rFonts w:eastAsia="Calibri"/>
          <w:b/>
          <w:bCs/>
          <w:sz w:val="28"/>
          <w:szCs w:val="28"/>
          <w:lang w:eastAsia="en-US"/>
        </w:rPr>
        <w:t>11/160</w:t>
      </w:r>
    </w:p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309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Лознянского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Лознянского сельского поселения за 2025 год по доходам в сумме 6 206,5 тыс. рублей, по расходам в сумме 6 460,2 тыс. рублей с превышением расходов над доходами (дефицит местного бюджета) в сумме 253,7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Лознянского сельского поселения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Лознянского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Лознянского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Лознянского сельского поселения за 2025 год по ведомственной структуре расходов местного бюджета Лознянского сельского поселения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7"/>
        <w:gridCol w:w="4332"/>
      </w:tblGrid>
      <w:tr>
        <w:trPr>
          <w:trHeight w:val="662" w:hRule="atLeast"/>
        </w:trPr>
        <w:tc>
          <w:tcPr>
            <w:tcW w:w="559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332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Лознянского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54"/>
        <w:gridCol w:w="99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253,7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6206,5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6206,5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6206,5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6206,5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6460,2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6460,2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6460,2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6460,2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253,7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Лознянского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ЛОЗНЯНСКОГО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10179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2948"/>
        <w:gridCol w:w="5707"/>
        <w:gridCol w:w="1524"/>
      </w:tblGrid>
      <w:tr>
        <w:trPr>
          <w:tblHeader w:val="true"/>
          <w:trHeight w:val="325" w:hRule="atLeast"/>
          <w:cantSplit w:val="true"/>
        </w:trPr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5" w:hRule="atLeast"/>
          <w:cantSplit w:val="true"/>
        </w:trPr>
        <w:tc>
          <w:tcPr>
            <w:tcW w:w="2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2 674,7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76,0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76,0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519,7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519,7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1 542,5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430,0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1 112,5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78,4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1034,1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904 108 00000 00 0000 000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1,3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904 108 04020 01 1000 110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1,3</w:t>
            </w:r>
          </w:p>
        </w:tc>
      </w:tr>
      <w:tr>
        <w:trPr>
          <w:trHeight w:val="407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904 111 00000 00 0000 000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522,7</w:t>
            </w:r>
          </w:p>
        </w:tc>
      </w:tr>
      <w:tr>
        <w:trPr>
          <w:trHeight w:val="407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904 111 05025 10 0000 120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461,5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904 111 05035 10 0000 120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61,2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904 113 00000 00 0000 000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904 113 02995 10 0000 130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12,5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3 531,8</w:t>
            </w:r>
          </w:p>
        </w:tc>
      </w:tr>
      <w:tr>
        <w:trPr>
          <w:trHeight w:val="426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3 085,0</w:t>
            </w:r>
          </w:p>
        </w:tc>
      </w:tr>
      <w:tr>
        <w:trPr>
          <w:trHeight w:val="426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861 202 16001 10 0000 150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214,0</w:t>
            </w:r>
          </w:p>
        </w:tc>
      </w:tr>
      <w:tr>
        <w:trPr>
          <w:trHeight w:val="63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904 202 16001 10 0000 150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2 871,0</w:t>
            </w:r>
          </w:p>
        </w:tc>
      </w:tr>
      <w:tr>
        <w:trPr>
          <w:trHeight w:val="63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904 202 30000 00 0000 150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165,0</w:t>
            </w:r>
          </w:p>
        </w:tc>
      </w:tr>
      <w:tr>
        <w:trPr>
          <w:trHeight w:val="63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904 202 35118 10 0000 150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165,0</w:t>
            </w:r>
          </w:p>
        </w:tc>
      </w:tr>
      <w:tr>
        <w:trPr>
          <w:trHeight w:val="223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904 202 40000 00 0000 150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281,8</w:t>
            </w:r>
          </w:p>
        </w:tc>
      </w:tr>
      <w:tr>
        <w:trPr>
          <w:trHeight w:val="31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904 202 40014 10 0000 150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281,8</w:t>
            </w:r>
          </w:p>
        </w:tc>
      </w:tr>
      <w:tr>
        <w:trPr>
          <w:trHeight w:val="312" w:hRule="atLeast"/>
        </w:trPr>
        <w:tc>
          <w:tcPr>
            <w:tcW w:w="8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6 206,5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Лознянского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5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862"/>
        <w:gridCol w:w="865"/>
        <w:gridCol w:w="1747"/>
        <w:gridCol w:w="866"/>
        <w:gridCol w:w="1214"/>
      </w:tblGrid>
      <w:tr>
        <w:trPr>
          <w:tblHeader w:val="true"/>
          <w:trHeight w:val="293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ind w:right="-505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</w:tr>
      <w:tr>
        <w:trPr>
          <w:trHeight w:val="307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4041,4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3075,4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3075,4</w:t>
            </w:r>
          </w:p>
        </w:tc>
      </w:tr>
      <w:tr>
        <w:trPr>
          <w:trHeight w:val="360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3075,4</w:t>
            </w:r>
          </w:p>
        </w:tc>
      </w:tr>
      <w:tr>
        <w:trPr>
          <w:trHeight w:val="834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</w:t>
            </w:r>
            <w:r>
              <w:rPr>
                <w:b/>
              </w:rPr>
              <w:t>омплекс процессных мероприятий «Обеспечение функций органов власти Лознянского сельского поселения»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3075,4</w:t>
            </w:r>
          </w:p>
        </w:tc>
      </w:tr>
      <w:tr>
        <w:trPr>
          <w:trHeight w:val="565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функций органов власти Лознянского сельского поселения, в том числе территориальных органов (Расходы на выплаты персоналу  в целях обеспечения  выполнения  функций  государственными органами, казенными учреждениями, органами управления государственными  внебюджетными фондами)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0104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01 4 05 00190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1765,2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функций органов власти Лознянского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01 4 05 00190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315,0</w:t>
            </w:r>
          </w:p>
        </w:tc>
      </w:tr>
      <w:tr>
        <w:trPr>
          <w:trHeight w:val="329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40"/>
              <w:jc w:val="both"/>
              <w:rPr/>
            </w:pPr>
            <w:r>
              <w:rPr/>
              <w:t>Обеспечение функций органов власти Лознянского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01 4 05 00190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>
                <w:bCs/>
              </w:rPr>
              <w:t>800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0,7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Расходы на выплаты по оплате труда главы администрации Лознянского сельского поселения (Расходы на выплаты персоналу 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994,5</w:t>
            </w:r>
          </w:p>
        </w:tc>
      </w:tr>
      <w:tr>
        <w:trPr>
          <w:trHeight w:val="283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966,0</w:t>
            </w:r>
          </w:p>
        </w:tc>
      </w:tr>
      <w:tr>
        <w:trPr>
          <w:trHeight w:val="283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959,5</w:t>
            </w:r>
          </w:p>
        </w:tc>
      </w:tr>
      <w:tr>
        <w:trPr>
          <w:trHeight w:val="283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959,5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 xml:space="preserve">Комплекс процессных мероприятий «Обеспечение функций органов власти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959,5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Cs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>
                <w:color w:val="000000"/>
                <w:lang w:eastAsia="ru-RU"/>
              </w:rPr>
              <w:t>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859,2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Cs/>
              </w:rPr>
              <w:t xml:space="preserve">Обеспечение деятельности (оказание услуг) муниципальных учреждений (организаций 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100,3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 xml:space="preserve">Реализация функций органов местного самоуправления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6,5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99 9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6,5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Cs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/>
              <w:t>(Закупка товаров, работ,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  <w:t>99 9 00 20020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6,5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 xml:space="preserve">Реализация функций органов местного самоуправления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 </w:t>
            </w:r>
            <w:r>
              <w:rPr>
                <w:color w:val="000000"/>
                <w:lang w:eastAsia="ru-RU"/>
              </w:rPr>
              <w:t>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142,6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(Закупка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0203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22,4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color w:val="000000"/>
              </w:rPr>
              <w:t>Муниципальная программа «Социально-экономическое развитие Лознянского сельского поселения»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color w:val="000000"/>
              </w:rPr>
              <w:t>Комплексы процессных мероприятий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color w:val="000000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</w:rPr>
              <w:t xml:space="preserve">Мероприятия в рамках пожарной безопасности и защиты населения от чрезвычайных ситуаций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0310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01 4 03 20350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94,4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Реализация функций органов местного самоуправления Лознянского сельского поселения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288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99 9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99 9 00 73880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trHeight w:val="409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01 4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trHeight w:val="837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</w:t>
            </w:r>
            <w:r>
              <w:rPr>
                <w:b/>
              </w:rPr>
              <w:t>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1 4 04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  <w:shd w:fill="FFFFFF" w:val="clear"/>
              </w:rPr>
              <w:t xml:space="preserve"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0409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01 4 04 80570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281,8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Реализация функций органов местного самоуправления Лознянского сельского поселения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Реализация мероприятий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0412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Cs/>
              </w:rPr>
            </w:pPr>
            <w:r>
              <w:rPr>
                <w:bCs/>
              </w:rPr>
              <w:t>99 9 00 20460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trHeight w:val="381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Благоустройство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Организация наружного освещения населенных пунктов Лознянского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0503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874,3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01 4 01 29990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124,2</w:t>
            </w:r>
          </w:p>
        </w:tc>
      </w:tr>
      <w:tr>
        <w:trPr>
          <w:trHeight w:val="413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879,1</w:t>
            </w:r>
          </w:p>
        </w:tc>
      </w:tr>
      <w:tr>
        <w:trPr>
          <w:trHeight w:val="413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080</w:t>
            </w:r>
            <w:r>
              <w:rPr>
                <w:b/>
                <w:bCs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644,6</w:t>
            </w:r>
          </w:p>
        </w:tc>
      </w:tr>
      <w:tr>
        <w:trPr>
          <w:trHeight w:val="413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644,6</w:t>
            </w:r>
          </w:p>
        </w:tc>
      </w:tr>
      <w:tr>
        <w:trPr>
          <w:trHeight w:val="237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644,6</w:t>
            </w:r>
          </w:p>
        </w:tc>
      </w:tr>
      <w:tr>
        <w:trPr>
          <w:trHeight w:val="997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644,6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  <w:shd w:fill="FFFFFF" w:val="clear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01 4 02 81690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637,0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  <w:shd w:fill="FFFFFF" w:val="clear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01 4 02 82220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7,6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234,5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234,5</w:t>
            </w:r>
          </w:p>
        </w:tc>
      </w:tr>
      <w:tr>
        <w:trPr>
          <w:trHeight w:val="386" w:hRule="atLeast"/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234,5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234,5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0804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200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234,5</w:t>
            </w:r>
          </w:p>
        </w:tc>
      </w:tr>
      <w:tr>
        <w:trPr>
          <w:cantSplit w:val="true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  <w:t>6460,2</w:t>
            </w:r>
            <w:bookmarkStart w:id="0" w:name="_Hlk182759054"/>
            <w:bookmarkEnd w:id="0"/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Лознянского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5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241"/>
        <w:gridCol w:w="892"/>
        <w:gridCol w:w="801"/>
        <w:gridCol w:w="1707"/>
        <w:gridCol w:w="854"/>
        <w:gridCol w:w="1084"/>
      </w:tblGrid>
      <w:tr>
        <w:trPr>
          <w:tblHeader w:val="true"/>
          <w:trHeight w:val="293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  <w:caps/>
              </w:rPr>
              <w:tab/>
            </w:r>
            <w:r>
              <w:rPr>
                <w:b/>
                <w:bCs/>
              </w:rPr>
              <w:t>Наименование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КВСР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ind w:right="-505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</w:tr>
      <w:tr>
        <w:trPr>
          <w:trHeight w:val="307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4041,4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3075,4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</w:t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3075,4</w:t>
            </w:r>
          </w:p>
        </w:tc>
      </w:tr>
      <w:tr>
        <w:trPr>
          <w:trHeight w:val="312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3075,4</w:t>
            </w:r>
          </w:p>
        </w:tc>
      </w:tr>
      <w:tr>
        <w:trPr>
          <w:trHeight w:val="834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</w:t>
            </w:r>
            <w:r>
              <w:rPr>
                <w:b/>
              </w:rPr>
              <w:t>омплекс процессных мероприятий «Обеспечение функций органов власти Лознянского сельского поселения»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3075,4</w:t>
            </w:r>
          </w:p>
        </w:tc>
      </w:tr>
      <w:tr>
        <w:trPr>
          <w:trHeight w:val="565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функций органов власти Лознянского сельского поселения, в том числе территориальных органов (Расходы на выплаты персоналу  в целях обеспечения  выполнения  функций  государственными органами, казенными учреждениями, органами управления государственными  внебюджетными фондами)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0104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01 4 05 00190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1765,2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функций органов власти Лознянского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01 4 05 00190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315,0</w:t>
            </w:r>
          </w:p>
        </w:tc>
      </w:tr>
      <w:tr>
        <w:trPr>
          <w:trHeight w:val="329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40"/>
              <w:jc w:val="both"/>
              <w:rPr/>
            </w:pPr>
            <w:r>
              <w:rPr/>
              <w:t>Обеспечение функций органов власти Лознянского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</w:r>
          </w:p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</w:r>
          </w:p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01 4 05 00190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>
                <w:bCs/>
              </w:rPr>
              <w:t>800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0,7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Расходы на выплаты по оплате труда главы администрации Лознянского сельского поселения (Расходы на выплаты персоналу 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994,5</w:t>
            </w:r>
          </w:p>
        </w:tc>
      </w:tr>
      <w:tr>
        <w:trPr>
          <w:trHeight w:val="283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966,0</w:t>
            </w:r>
          </w:p>
        </w:tc>
      </w:tr>
      <w:tr>
        <w:trPr>
          <w:trHeight w:val="283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959,5</w:t>
            </w:r>
          </w:p>
        </w:tc>
      </w:tr>
      <w:tr>
        <w:trPr>
          <w:trHeight w:val="283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959,5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 xml:space="preserve">Комплекс процессных мероприятий «Обеспечение функций органов власти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959,5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учреждений (организаций) (Расходы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859,2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Cs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/>
              <w:t>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100,3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 xml:space="preserve">Реализация функций органов местного самоуправления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6,5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6,5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Cs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/>
              <w:t>(Закупка товаров, работ, услуг для обеспечения государственных (муниципальных) нужд)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99 9 00 20020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6,5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 xml:space="preserve">Реализация функций органов местного самоуправления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142,6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 (Закупка товаров, работ и услуг для обеспечения государственных (муниципальных) нужд)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0203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22,4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color w:val="000000"/>
              </w:rPr>
              <w:t>Муниципальная программа «Социально-экономическое развитие Лознянского сельского поселения»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color w:val="000000"/>
              </w:rPr>
              <w:t>Комплексы процессных мероприятий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01 4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color w:val="000000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01 4 03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94,4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</w:rPr>
              <w:t xml:space="preserve">Мероприятия в рамках пожарной безопасности и защиты населения от чрезвычайных ситуаций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0310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01 4 03 20350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94,4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Реализация функций органов местного самоуправления Лознянского сельского поселения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288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99 9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 (Закупка товаров, работ и услуг для обеспечения государственных (муниципальных) нужд)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99 9 00 73880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Дорожное хозяйство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01 4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trHeight w:val="837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</w:t>
            </w:r>
            <w:r>
              <w:rPr>
                <w:b/>
              </w:rPr>
              <w:t>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1 4 04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0409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01 4 04 80570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281,8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Реализация функций органов местного самоуправления Лознянского сельского поселения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99 9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Реализация мероприятий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0412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99 9 00 20460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trHeight w:val="381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Благоустройство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998,5</w:t>
            </w:r>
          </w:p>
        </w:tc>
      </w:tr>
      <w:tr>
        <w:trPr>
          <w:trHeight w:val="1231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Организация наружного освещения населенных пунктов Лознянского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0503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874,3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01 4 01 29990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124,2</w:t>
            </w:r>
          </w:p>
        </w:tc>
      </w:tr>
      <w:tr>
        <w:trPr>
          <w:trHeight w:val="413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879,1</w:t>
            </w:r>
          </w:p>
        </w:tc>
      </w:tr>
      <w:tr>
        <w:trPr>
          <w:trHeight w:val="413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080</w:t>
            </w:r>
            <w:r>
              <w:rPr>
                <w:b/>
                <w:bCs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644,6</w:t>
            </w:r>
          </w:p>
        </w:tc>
      </w:tr>
      <w:tr>
        <w:trPr>
          <w:trHeight w:val="413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644,6</w:t>
            </w:r>
          </w:p>
        </w:tc>
      </w:tr>
      <w:tr>
        <w:trPr>
          <w:trHeight w:val="413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644,6</w:t>
            </w:r>
          </w:p>
        </w:tc>
      </w:tr>
      <w:tr>
        <w:trPr>
          <w:trHeight w:val="1012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644,6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  <w:shd w:fill="FFFFFF" w:val="clear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01 4 02 81690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637,0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  <w:shd w:fill="FFFFFF" w:val="clear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01 4 02 82220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7,6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Другие вопросы в области культуры,</w:t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кинематографии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234,5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развития </w:t>
            </w:r>
            <w:r>
              <w:rPr>
                <w:b/>
              </w:rPr>
              <w:t>Лознянского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234,5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234,5</w:t>
            </w:r>
          </w:p>
        </w:tc>
      </w:tr>
      <w:tr>
        <w:trPr>
          <w:trHeight w:val="616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234,5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0804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234,5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  <w:t>6460,2.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____________________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748" w:gutter="0" w:header="0" w:top="1134" w:footer="709" w:bottom="1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F323-B0E2-492D-986B-98EA5946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Application>LibreOffice/25.2.3.2$Linux_X86_64 LibreOffice_project/520$Build-2</Application>
  <AppVersion>15.0000</AppVersion>
  <Pages>15</Pages>
  <Words>2883</Words>
  <Characters>19465</Characters>
  <CharactersWithSpaces>21734</CharactersWithSpaces>
  <Paragraphs>755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2025-11-26T06:42:00Z</dcterms:created>
  <dc:creator>Валентина</dc:creator>
  <dc:description/>
  <dc:language>ru-RU</dc:language>
  <cp:lastModifiedBy/>
  <cp:lastPrinted>2026-04-23T09:29:43Z</cp:lastPrinted>
  <dcterms:modified xsi:type="dcterms:W3CDTF">2026-04-28T15:40:22Z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