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  <w:highlight w:val="white"/>
          <w:lang w:eastAsia="en-US"/>
        </w:rPr>
      </w:pPr>
      <w:r>
        <w:rPr/>
        <w:drawing>
          <wp:inline distT="0" distB="0" distL="0" distR="0">
            <wp:extent cx="571500" cy="78486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7" t="0" r="-127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rFonts w:cs="Tahoma"/>
          <w:color w:val="000000"/>
          <w:sz w:val="22"/>
          <w:szCs w:val="22"/>
          <w:lang w:val="en-US" w:eastAsia="en-US" w:bidi="en-US"/>
        </w:rPr>
      </w:pPr>
      <w:r>
        <w:rPr>
          <w:rFonts w:cs="Tahoma"/>
          <w:color w:val="000000"/>
          <w:sz w:val="22"/>
          <w:szCs w:val="22"/>
          <w:lang w:val="en-US" w:eastAsia="en-US" w:bidi="en-US"/>
        </w:rPr>
      </w:r>
    </w:p>
    <w:p>
      <w:pPr>
        <w:pStyle w:val="Normal"/>
        <w:widowControl w:val="false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color w:val="000000"/>
          <w:sz w:val="28"/>
          <w:szCs w:val="28"/>
          <w:lang w:eastAsia="en-US" w:bidi="en-US"/>
        </w:rPr>
        <w:t>СОВЕТ ДЕПУТАТОВ</w:t>
      </w:r>
    </w:p>
    <w:p>
      <w:pPr>
        <w:pStyle w:val="Normal"/>
        <w:widowControl w:val="false"/>
        <w:jc w:val="center"/>
        <w:rPr>
          <w:rFonts w:ascii="Calibri" w:hAnsi="Calibri" w:eastAsia="Calibri" w:cs="Calibri"/>
          <w:sz w:val="22"/>
          <w:szCs w:val="22"/>
          <w:lang w:eastAsia="en-US"/>
        </w:rPr>
      </w:pPr>
      <w:r>
        <w:rPr>
          <w:rFonts w:eastAsia="Lucida Sans Unicode" w:cs="Tahoma"/>
          <w:bCs/>
          <w:iCs/>
          <w:sz w:val="28"/>
          <w:szCs w:val="28"/>
          <w:lang w:eastAsia="en-US"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2"/>
          <w:szCs w:val="22"/>
          <w:lang w:eastAsia="en-US"/>
        </w:rPr>
      </w:pPr>
      <w:r>
        <w:rPr>
          <w:sz w:val="28"/>
          <w:szCs w:val="22"/>
          <w:lang w:eastAsia="en-US"/>
        </w:rPr>
        <w:t>БЕЛГОРОДСКОЙ ОБЛАСТИ</w:t>
      </w:r>
    </w:p>
    <w:p>
      <w:pPr>
        <w:pStyle w:val="Normal"/>
        <w:widowControl w:val="false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 Е Ш Е Н И Е</w:t>
      </w:r>
    </w:p>
    <w:p>
      <w:pPr>
        <w:pStyle w:val="Normal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spacing w:lineRule="atLeast" w:line="102" w:beforeAutospacing="1" w:after="1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26 июня </w:t>
      </w:r>
      <w:r>
        <w:rPr>
          <w:rFonts w:eastAsia="Calibri"/>
          <w:sz w:val="28"/>
          <w:szCs w:val="28"/>
          <w:lang w:eastAsia="en-US"/>
        </w:rPr>
        <w:t>2026 года</w:t>
        <w:tab/>
        <w:t xml:space="preserve">     </w:t>
        <w:tab/>
        <w:tab/>
        <w:tab/>
        <w:tab/>
        <w:tab/>
        <w:t xml:space="preserve">                 № </w:t>
      </w:r>
      <w:r>
        <w:rPr>
          <w:rFonts w:eastAsia="Calibri"/>
          <w:sz w:val="28"/>
          <w:szCs w:val="28"/>
          <w:lang w:eastAsia="en-US"/>
        </w:rPr>
        <w:t>13/188</w:t>
      </w:r>
    </w:p>
    <w:p>
      <w:pPr>
        <w:pStyle w:val="Normal"/>
        <w:ind w:right="4534"/>
        <w:jc w:val="both"/>
        <w:rPr>
          <w:b/>
          <w:bCs/>
          <w:sz w:val="24"/>
          <w:szCs w:val="24"/>
          <w:u w:val="single"/>
          <w:lang w:eastAsia="zh-CN"/>
        </w:rPr>
      </w:pPr>
      <w:r>
        <w:rPr>
          <w:b/>
          <w:bCs/>
          <w:sz w:val="24"/>
          <w:szCs w:val="24"/>
          <w:u w:val="single"/>
          <w:lang w:eastAsia="zh-CN"/>
        </w:rPr>
      </w:r>
    </w:p>
    <w:p>
      <w:pPr>
        <w:pStyle w:val="Normal"/>
        <w:ind w:right="4534"/>
        <w:jc w:val="both"/>
        <w:rPr>
          <w:b/>
          <w:bCs/>
          <w:sz w:val="24"/>
          <w:szCs w:val="24"/>
          <w:u w:val="single"/>
          <w:lang w:eastAsia="zh-CN"/>
        </w:rPr>
      </w:pPr>
      <w:r>
        <w:rPr>
          <w:b/>
          <w:bCs/>
          <w:sz w:val="24"/>
          <w:szCs w:val="24"/>
          <w:u w:val="single"/>
          <w:lang w:eastAsia="zh-CN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установлении дополнительного основания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признания безнадежной к взысканию задолженности в бюджет Ровеньского муниципального округа Белгородской области в части сумм местных налогов</w:t>
      </w:r>
    </w:p>
    <w:p>
      <w:pPr>
        <w:pStyle w:val="ConsPlusTitle"/>
        <w:spacing w:before="24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59 Налогового кодекса Российской Федерации, </w:t>
      </w:r>
      <w:r>
        <w:rPr>
          <w:color w:val="000000"/>
          <w:sz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Уставом Ровеньского муниципального округа Белгородской области, Совет депутатов Ровеньского муниципального округа Белгородской области </w:t>
      </w:r>
      <w:r>
        <w:rPr>
          <w:b/>
          <w:spacing w:val="20"/>
          <w:sz w:val="28"/>
          <w:szCs w:val="28"/>
        </w:rPr>
        <w:t>решил: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 Установить дополнительное основание признания безнадежной к взысканию задолженности в бюджет Ровеньского муниципального округа Белгородской области в части сумм местных налогов: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1.1. наличие задолженности в части сумм местных налогов у умершего физического лица либо физического лица, объявленного умершим, в порядке, установленном гражданским процессуальным законодательством Российской Федерации в случае, если по истечении трех лет с момента открытия наследства оно не принято наследниками.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 Решение о признании задолженности безнадежной к взысканию в части сумм местных налогов и ее списание (далее - Решение) принимается налоговым органом по месту учета налогоплательщика. Решение по основанию, указанному в подпункте 1.1, принимается при наличии в автоматизированной информационной системе налогового органа сведений, подтверждающих основание для признания задолженности безнадежной к взысканию, а также наличия на дату приятия Решения задолженности в части сумм местных налогов.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3. Признать утратившими силу: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Айдарского сельского поселения от 28 апреля 2017 года № 109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Верхнесеребрянского сельского поселения от 24 апреля 2017 года № 51/115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Ладомировского сельского поселения от 29 мая 2017 года № 83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Лознянского сельского поселения от 27 апреля 2017 года № 118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Лозовского сельского поселения от 26 апреля 2017 года № 175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Наголенского сельского поселения от 06 апреля 2017 года № 117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Нагорьевского сельского поселения от 26 апреля 2017 года № 134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Новоалександровского сельского поселения от 28 апреля 2017 года № 119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Ржевского сельского поселения от 28 апреля 2017 года № 102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Свистовского сельского поселения от 27 апреля 2017 года № 100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земского собрания Харьковского сельского поселения от 28 апреля 2017 года № 111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него;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решение поселкового собрания городского поселения «Поселок Ровеньки» от 26 апреля 2017 года № 68 «Об установлении дополнительных оснований признания безнадежными к взысканию недоимки по местным налогам (в том числе по отмененным), задолженности по пеням и штрафам по этим налогам» со всеми последующими изменениями и уточнениями в него.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4. Настоящее решение вступает в силу с момента его официального опубликования и распространяется на правоотношения, возникшие с 1 января 2026 года.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Опубликовать решение в сетевом издании «Ровеньская нива» и на официальном сайте органов местного самоуправления</w:t>
      </w:r>
      <w:r>
        <w:rPr/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Ровеньского муниципального округа Белгородской области в информационно-телекоммуникационной сети «Интернет» (https://rovenkiadm.gosuslugi.ru).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sz w:val="28"/>
          <w:szCs w:val="28"/>
          <w:highlight w:val="yellow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6. Контроль за исполнением настоящего решения возложить на постоянную комиссию Совета депутатов Ровеньского муниципального округа Белгородской области по муниципальной собственности, бюджетной и экономической политике.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Белгородской области                                                                   В.А. Некрасов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Белгородской области                                                                Т.В. Киричкова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user">
    <w:name w:val="Символ сноски (user)"/>
    <w:basedOn w:val="DefaultParagraphFont"/>
    <w:uiPriority w:val="99"/>
    <w:unhideWhenUsed/>
    <w:qFormat/>
    <w:rPr>
      <w:vertAlign w:val="superscript"/>
    </w:rPr>
  </w:style>
  <w:style w:type="character" w:styleId="Style1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user1">
    <w:name w:val="Символ концевой сноски (user)"/>
    <w:basedOn w:val="DefaultParagraphFont"/>
    <w:uiPriority w:val="99"/>
    <w:semiHidden/>
    <w:unhideWhenUsed/>
    <w:qFormat/>
    <w:rPr>
      <w:vertAlign w:val="superscript"/>
    </w:rPr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ntstyle01" w:customStyle="1">
    <w:name w:val="fontstyle01"/>
    <w:basedOn w:val="DefaultParagraphFont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cstheme="minorBidi"/>
      <w:b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auto"/>
      </w:tcPr>
    </w:tblStylePr>
    <w:tblStylePr w:type="band1Horz">
      <w:rPr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auto"/>
      </w:tcPr>
    </w:tblStylePr>
    <w:tblStylePr w:type="band1Horz">
      <w:rPr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  <w:tcPr>
        <w:shd w:val="clear" w:color="FDE9D8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auto"/>
      </w:tcPr>
    </w:tblStylePr>
    <w:tblStylePr w:type="firstCol">
      <w:rPr>
        <w:b/>
        <w:sz w:val="22"/>
      </w:rPr>
      <w:tblPr/>
      <w:tcPr>
        <w:shd w:val="clear" w:color="4F81BD" w:fill="auto"/>
      </w:tcPr>
    </w:tblStylePr>
    <w:tblStylePr w:type="lastCol">
      <w:rPr>
        <w:b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auto"/>
      </w:tcPr>
    </w:tblStylePr>
    <w:tblStylePr w:type="firstCol">
      <w:rPr>
        <w:b/>
        <w:sz w:val="22"/>
      </w:rPr>
      <w:tblPr/>
      <w:tcPr>
        <w:shd w:val="clear" w:color="C0504D" w:fill="auto"/>
      </w:tcPr>
    </w:tblStylePr>
    <w:tblStylePr w:type="lastCol">
      <w:rPr>
        <w:b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auto"/>
      </w:tcPr>
    </w:tblStylePr>
    <w:tblStylePr w:type="firstCol">
      <w:rPr>
        <w:b/>
        <w:sz w:val="22"/>
      </w:rPr>
      <w:tblPr/>
      <w:tcPr>
        <w:shd w:val="clear" w:color="9BBB59" w:fill="auto"/>
      </w:tcPr>
    </w:tblStylePr>
    <w:tblStylePr w:type="lastCol">
      <w:rPr>
        <w:b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auto"/>
      </w:tcPr>
    </w:tblStylePr>
    <w:tblStylePr w:type="firstCol">
      <w:rPr>
        <w:b/>
        <w:sz w:val="22"/>
      </w:rPr>
      <w:tblPr/>
      <w:tcPr>
        <w:shd w:val="clear" w:color="8064A2" w:fill="auto"/>
      </w:tcPr>
    </w:tblStylePr>
    <w:tblStylePr w:type="lastCol">
      <w:rPr>
        <w:b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auto"/>
      </w:tcPr>
    </w:tblStylePr>
    <w:tblStylePr w:type="firstCol">
      <w:rPr>
        <w:b/>
        <w:sz w:val="22"/>
      </w:rPr>
      <w:tblPr/>
      <w:tcPr>
        <w:shd w:val="clear" w:color="4BACC6" w:fill="auto"/>
      </w:tcPr>
    </w:tblStylePr>
    <w:tblStylePr w:type="lastCol">
      <w:rPr>
        <w:b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auto"/>
      </w:tcPr>
    </w:tblStylePr>
    <w:tblStylePr w:type="firstCol">
      <w:rPr>
        <w:b/>
        <w:sz w:val="22"/>
      </w:rPr>
      <w:tblPr/>
      <w:tcPr>
        <w:shd w:val="clear" w:color="F79646" w:fill="auto"/>
      </w:tcPr>
    </w:tblStylePr>
    <w:tblStylePr w:type="lastCol">
      <w:rPr>
        <w:b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auto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auto"/>
      </w:tcPr>
    </w:tblStylePr>
    <w:tblStylePr w:type="band1Horz">
      <w:rPr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auto"/>
      </w:tcPr>
    </w:tblStylePr>
    <w:tblStylePr w:type="band1Horz">
      <w:rPr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auto"/>
      </w:tcPr>
    </w:tblStylePr>
    <w:tblStylePr w:type="band1Horz">
      <w:rPr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auto"/>
      </w:tcPr>
    </w:tblStylePr>
    <w:tblStylePr w:type="band1Horz">
      <w:rPr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auto"/>
      </w:tcPr>
    </w:tblStylePr>
    <w:tblStylePr w:type="band1Horz">
      <w:rPr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auto"/>
      </w:tcPr>
    </w:tblStylePr>
    <w:tblStylePr w:type="band1Horz">
      <w:rPr>
        <w:sz w:val="22"/>
      </w:rPr>
      <w:tblPr/>
      <w:tcPr>
        <w:shd w:val="clear" w:color="FDE4D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auto"/>
      </w:tcPr>
    </w:tblStyle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auto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auto"/>
      </w:tcPr>
    </w:tblStylePr>
    <w:tblStylePr w:type="lastRow">
      <w:rPr>
        <w:sz w:val="22"/>
      </w:rPr>
      <w:tblPr/>
      <w:tcPr>
        <w:shd w:val="clear" w:color="5D8AC2" w:fill="auto"/>
      </w:tcPr>
    </w:tblStylePr>
    <w:tblStylePr w:type="firstCol">
      <w:rPr>
        <w:sz w:val="22"/>
      </w:rPr>
      <w:tblPr/>
      <w:tcPr>
        <w:shd w:val="clear" w:color="5D8AC2" w:fill="auto"/>
      </w:tcPr>
    </w:tblStylePr>
    <w:tblStylePr w:type="lastCol">
      <w:rPr>
        <w:sz w:val="22"/>
      </w:rPr>
      <w:tblPr/>
      <w:tcPr>
        <w:shd w:val="clear" w:color="5D8AC2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auto"/>
      </w:tcPr>
    </w:tblStylePr>
    <w:tblStylePr w:type="lastRow">
      <w:rPr>
        <w:sz w:val="22"/>
      </w:rPr>
      <w:tblPr/>
      <w:tcPr>
        <w:shd w:val="clear" w:color="D99695" w:fill="auto"/>
      </w:tcPr>
    </w:tblStylePr>
    <w:tblStylePr w:type="firstCol">
      <w:rPr>
        <w:sz w:val="22"/>
      </w:rPr>
      <w:tblPr/>
      <w:tcPr>
        <w:shd w:val="clear" w:color="D99695" w:fill="auto"/>
      </w:tcPr>
    </w:tblStylePr>
    <w:tblStylePr w:type="lastCol">
      <w:rPr>
        <w:sz w:val="22"/>
      </w:rPr>
      <w:tblPr/>
      <w:tcPr>
        <w:shd w:val="clear" w:color="D9969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auto"/>
      </w:tcPr>
    </w:tblStylePr>
    <w:tblStylePr w:type="lastRow">
      <w:rPr>
        <w:sz w:val="22"/>
      </w:rPr>
      <w:tblPr/>
      <w:tcPr>
        <w:shd w:val="clear" w:color="9ABB59" w:fill="auto"/>
      </w:tcPr>
    </w:tblStylePr>
    <w:tblStylePr w:type="firstCol">
      <w:rPr>
        <w:sz w:val="22"/>
      </w:rPr>
      <w:tblPr/>
      <w:tcPr>
        <w:shd w:val="clear" w:color="9ABB59" w:fill="auto"/>
      </w:tcPr>
    </w:tblStylePr>
    <w:tblStylePr w:type="lastCol">
      <w:rPr>
        <w:sz w:val="22"/>
      </w:rPr>
      <w:tblPr/>
      <w:tcPr>
        <w:shd w:val="clear" w:color="9ABB59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auto"/>
      </w:tcPr>
    </w:tblStylePr>
    <w:tblStylePr w:type="lastRow">
      <w:rPr>
        <w:sz w:val="22"/>
      </w:rPr>
      <w:tblPr/>
      <w:tcPr>
        <w:shd w:val="clear" w:color="B2A1C6" w:fill="auto"/>
      </w:tcPr>
    </w:tblStylePr>
    <w:tblStylePr w:type="firstCol">
      <w:rPr>
        <w:sz w:val="22"/>
      </w:rPr>
      <w:tblPr/>
      <w:tcPr>
        <w:shd w:val="clear" w:color="B2A1C6" w:fill="auto"/>
      </w:tcPr>
    </w:tblStylePr>
    <w:tblStylePr w:type="lastCol">
      <w:rPr>
        <w:sz w:val="22"/>
      </w:rPr>
      <w:tblPr/>
      <w:tcPr>
        <w:shd w:val="clear" w:color="B2A1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auto"/>
      </w:tcPr>
    </w:tblStylePr>
    <w:tblStylePr w:type="lastRow">
      <w:rPr>
        <w:sz w:val="22"/>
      </w:rPr>
      <w:tblPr/>
      <w:tcPr>
        <w:shd w:val="clear" w:color="4BACC6" w:fill="auto"/>
      </w:tcPr>
    </w:tblStylePr>
    <w:tblStylePr w:type="firstCol">
      <w:rPr>
        <w:sz w:val="22"/>
      </w:rPr>
      <w:tblPr/>
      <w:tcPr>
        <w:shd w:val="clear" w:color="4BACC6" w:fill="auto"/>
      </w:tcPr>
    </w:tblStylePr>
    <w:tblStylePr w:type="lastCol">
      <w:rPr>
        <w:sz w:val="22"/>
      </w:rPr>
      <w:tblPr/>
      <w:tcPr>
        <w:shd w:val="clear" w:color="4BACC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auto"/>
      </w:tcPr>
    </w:tblStylePr>
    <w:tblStylePr w:type="lastRow">
      <w:rPr>
        <w:sz w:val="22"/>
      </w:rPr>
      <w:tblPr/>
      <w:tcPr>
        <w:shd w:val="clear" w:color="F79646" w:fill="auto"/>
      </w:tcPr>
    </w:tblStylePr>
    <w:tblStylePr w:type="firstCol">
      <w:rPr>
        <w:sz w:val="22"/>
      </w:rPr>
      <w:tblPr/>
      <w:tcPr>
        <w:shd w:val="clear" w:color="F79646" w:fill="auto"/>
      </w:tcPr>
    </w:tblStylePr>
    <w:tblStylePr w:type="lastCol">
      <w:rPr>
        <w:sz w:val="22"/>
      </w:rPr>
      <w:tblPr/>
      <w:tcPr>
        <w:shd w:val="clear" w:color="F79646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E858B95-E47B-4B39-A807-D3C04348C2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LibreOffice/25.2.3.2$Linux_X86_64 LibreOffice_project/520$Build-2</Application>
  <AppVersion>15.0000</AppVersion>
  <Pages>3</Pages>
  <Words>866</Words>
  <Characters>5581</Characters>
  <CharactersWithSpaces>6570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2026-06-16T13:16:00Z</dcterms:created>
  <dc:creator>Алла Морковская</dc:creator>
  <dc:description/>
  <dc:language>ru-RU</dc:language>
  <cp:lastModifiedBy/>
  <cp:lastPrinted>2026-06-26T05:45:00Z</cp:lastPrinted>
  <dcterms:modified xsi:type="dcterms:W3CDTF">2026-06-29T11:54:20Z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