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footer1.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header1.xml" ContentType="application/vnd.openxmlformats-officedocument.wordprocessingml.header+xml"/>
  <Override PartName="/word/media/image1.png" ContentType="image/png"/>
  <Override PartName="/word/styles.xml" ContentType="application/vnd.openxmlformats-officedocument.wordprocessingml.styles+xml"/>
  <Override PartName="/word/document.xml" ContentType="application/vnd.openxmlformats-officedocument.wordprocessingml.document.main+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highlight w:val="white"/>
        </w:rPr>
      </w:pPr>
      <w:r>
        <w:rPr/>
        <w:drawing>
          <wp:inline distT="0" distB="0" distL="0" distR="0">
            <wp:extent cx="572135" cy="781685"/>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rcRect l="-65" t="-22" r="-65" b="-22"/>
                    <a:stretch>
                      <a:fillRect/>
                    </a:stretch>
                  </pic:blipFill>
                  <pic:spPr bwMode="auto">
                    <a:xfrm>
                      <a:off x="0" y="0"/>
                      <a:ext cx="572135" cy="781685"/>
                    </a:xfrm>
                    <a:prstGeom prst="rect">
                      <a:avLst/>
                    </a:prstGeom>
                    <a:noFill/>
                  </pic:spPr>
                </pic:pic>
              </a:graphicData>
            </a:graphic>
          </wp:inline>
        </w:drawing>
      </w:r>
    </w:p>
    <w:p>
      <w:pPr>
        <w:pStyle w:val="Normal"/>
        <w:widowControl w:val="false"/>
        <w:jc w:val="center"/>
        <w:rPr/>
      </w:pPr>
      <w:r>
        <w:rPr>
          <w:rFonts w:eastAsia="Lucida Sans Unicode" w:cs="Tahoma"/>
          <w:bCs/>
          <w:color w:val="000000"/>
          <w:sz w:val="28"/>
          <w:szCs w:val="28"/>
          <w:lang w:bidi="en-US"/>
        </w:rPr>
        <w:t>СОВЕТ ДЕПУТАТОВ</w:t>
      </w:r>
    </w:p>
    <w:p>
      <w:pPr>
        <w:pStyle w:val="Normal"/>
        <w:widowControl w:val="false"/>
        <w:jc w:val="center"/>
        <w:rPr/>
      </w:pPr>
      <w:r>
        <w:rPr>
          <w:rFonts w:eastAsia="Lucida Sans Unicode" w:cs="Tahoma"/>
          <w:bCs/>
          <w:iCs/>
          <w:sz w:val="28"/>
          <w:szCs w:val="28"/>
          <w:lang w:bidi="en-US"/>
        </w:rPr>
        <w:t>РОВЕНЬСКОГО МУНИЦИПАЛЬНОГО ОКРУГА</w:t>
      </w:r>
    </w:p>
    <w:p>
      <w:pPr>
        <w:pStyle w:val="Normal"/>
        <w:widowControl w:val="false"/>
        <w:jc w:val="center"/>
        <w:rPr>
          <w:rFonts w:ascii="Times New Roman" w:hAnsi="Times New Roman"/>
        </w:rPr>
      </w:pPr>
      <w:r>
        <w:rPr>
          <w:rFonts w:eastAsia="Times New Roman"/>
          <w:sz w:val="28"/>
        </w:rPr>
        <w:t>БЕЛГОРОДСКОЙ ОБЛАСТИ</w:t>
      </w:r>
    </w:p>
    <w:p>
      <w:pPr>
        <w:pStyle w:val="Normal"/>
        <w:widowControl w:val="false"/>
        <w:rPr>
          <w:rFonts w:ascii="Times New Roman" w:hAnsi="Times New Roman"/>
        </w:rPr>
      </w:pPr>
      <w:r>
        <w:rPr/>
      </w:r>
    </w:p>
    <w:p>
      <w:pPr>
        <w:pStyle w:val="Normal"/>
        <w:jc w:val="center"/>
        <w:rPr>
          <w:rFonts w:ascii="Times New Roman" w:hAnsi="Times New Roman"/>
        </w:rPr>
      </w:pPr>
      <w:r>
        <w:rPr>
          <w:b/>
          <w:sz w:val="28"/>
          <w:szCs w:val="28"/>
        </w:rPr>
        <w:t>Р Е Ш Е Н И Е</w:t>
      </w:r>
    </w:p>
    <w:p>
      <w:pPr>
        <w:pStyle w:val="Normal"/>
        <w:spacing w:lineRule="atLeast" w:line="102"/>
        <w:jc w:val="center"/>
        <w:rPr>
          <w:rFonts w:ascii="Times New Roman" w:hAnsi="Times New Roman"/>
        </w:rPr>
      </w:pPr>
      <w:r>
        <w:rPr/>
      </w:r>
    </w:p>
    <w:p>
      <w:pPr>
        <w:pStyle w:val="Normal"/>
        <w:spacing w:lineRule="atLeast" w:line="102" w:beforeAutospacing="1" w:after="198"/>
        <w:rPr>
          <w:b/>
          <w:bCs/>
        </w:rPr>
      </w:pPr>
      <w:r>
        <w:rPr>
          <w:b/>
          <w:bCs/>
          <w:sz w:val="28"/>
          <w:szCs w:val="28"/>
        </w:rPr>
        <w:t>28 июля 2026 года</w:t>
        <w:tab/>
        <w:tab/>
        <w:tab/>
        <w:tab/>
        <w:tab/>
        <w:t xml:space="preserve">                                № 14/198</w:t>
      </w:r>
    </w:p>
    <w:p>
      <w:pPr>
        <w:pStyle w:val="Normal"/>
        <w:rPr>
          <w:rFonts w:ascii="Times New Roman" w:hAnsi="Times New Roman"/>
          <w:sz w:val="28"/>
          <w:szCs w:val="28"/>
        </w:rPr>
      </w:pPr>
      <w:r>
        <w:rPr>
          <w:sz w:val="28"/>
          <w:szCs w:val="28"/>
        </w:rPr>
      </w:r>
    </w:p>
    <w:p>
      <w:pPr>
        <w:pStyle w:val="ConsPlusTitle"/>
        <w:spacing w:lineRule="auto" w:line="221" w:before="0" w:after="0"/>
        <w:contextualSpacing/>
        <w:jc w:val="center"/>
        <w:rPr>
          <w:rFonts w:ascii="Times New Roman" w:hAnsi="Times New Roman" w:cs="Times New Roman"/>
          <w:sz w:val="28"/>
          <w:szCs w:val="28"/>
        </w:rPr>
      </w:pPr>
      <w:r>
        <w:rPr>
          <w:rFonts w:eastAsia="Times New Roman" w:cs="Times New Roman" w:ascii="Times New Roman" w:hAnsi="Times New Roman"/>
          <w:sz w:val="28"/>
          <w:szCs w:val="28"/>
        </w:rPr>
        <w:t>Об утверждении Положения о муниципальном земельном контроле</w:t>
      </w:r>
    </w:p>
    <w:p>
      <w:pPr>
        <w:pStyle w:val="ConsPlusTitle"/>
        <w:spacing w:lineRule="auto" w:line="221" w:before="0" w:after="0"/>
        <w:contextualSpacing/>
        <w:jc w:val="center"/>
        <w:rPr>
          <w:rFonts w:ascii="Times New Roman" w:hAnsi="Times New Roman" w:cs="Times New Roman"/>
          <w:sz w:val="28"/>
          <w:szCs w:val="28"/>
        </w:rPr>
      </w:pPr>
      <w:r>
        <w:rPr>
          <w:rFonts w:eastAsia="Times New Roman" w:cs="Times New Roman" w:ascii="Times New Roman" w:hAnsi="Times New Roman"/>
          <w:sz w:val="28"/>
          <w:szCs w:val="28"/>
        </w:rPr>
        <w:t>на территории Ровеньского муниципального округа</w:t>
      </w:r>
    </w:p>
    <w:p>
      <w:pPr>
        <w:pStyle w:val="ConsPlusTitle"/>
        <w:spacing w:lineRule="auto" w:line="221" w:before="0" w:after="0"/>
        <w:contextualSpacing/>
        <w:jc w:val="center"/>
        <w:rPr>
          <w:rFonts w:ascii="Times New Roman" w:hAnsi="Times New Roman" w:cs="Times New Roman"/>
          <w:sz w:val="28"/>
          <w:szCs w:val="28"/>
        </w:rPr>
      </w:pPr>
      <w:r>
        <w:rPr>
          <w:rFonts w:eastAsia="Times New Roman" w:cs="Times New Roman" w:ascii="Times New Roman" w:hAnsi="Times New Roman"/>
          <w:sz w:val="28"/>
          <w:szCs w:val="28"/>
        </w:rPr>
        <w:t xml:space="preserve">Белгородской области </w:t>
      </w:r>
    </w:p>
    <w:p>
      <w:pPr>
        <w:pStyle w:val="ConsPlusTitle"/>
        <w:spacing w:lineRule="auto" w:line="221"/>
        <w:ind w:hanging="0" w:left="-567" w:right="81"/>
        <w:jc w:val="center"/>
        <w:rPr>
          <w:rFonts w:ascii="Times New Roman" w:hAnsi="Times New Roman" w:cs="Times New Roman"/>
          <w:sz w:val="28"/>
          <w:szCs w:val="28"/>
        </w:rPr>
      </w:pPr>
      <w:r>
        <w:rPr>
          <w:rFonts w:cs="Times New Roman" w:ascii="Times New Roman" w:hAnsi="Times New Roman"/>
          <w:sz w:val="28"/>
          <w:szCs w:val="28"/>
        </w:rPr>
      </w:r>
    </w:p>
    <w:p>
      <w:pPr>
        <w:pStyle w:val="ConsPlusTitle"/>
        <w:spacing w:lineRule="auto" w:line="221"/>
        <w:ind w:hanging="0" w:left="-567" w:right="81"/>
        <w:jc w:val="center"/>
        <w:rPr>
          <w:rFonts w:ascii="Times New Roman" w:hAnsi="Times New Roman" w:cs="Times New Roman"/>
          <w:sz w:val="28"/>
          <w:szCs w:val="28"/>
        </w:rPr>
      </w:pPr>
      <w:r>
        <w:rPr>
          <w:rFonts w:cs="Times New Roman" w:ascii="Times New Roman" w:hAnsi="Times New Roman"/>
          <w:sz w:val="28"/>
          <w:szCs w:val="28"/>
        </w:rPr>
      </w:r>
    </w:p>
    <w:p>
      <w:pPr>
        <w:pStyle w:val="ConsPlusNormal"/>
        <w:ind w:firstLine="540"/>
        <w:jc w:val="both"/>
        <w:rPr>
          <w:bCs/>
          <w:sz w:val="28"/>
          <w:szCs w:val="28"/>
        </w:rPr>
      </w:pPr>
      <w:r>
        <w:rPr>
          <w:bCs/>
          <w:sz w:val="28"/>
          <w:szCs w:val="28"/>
        </w:rPr>
        <w:t>В соответствии со статьей 72 Земельного кодекса Российской Федерации, Федеральным законом от 20 марта 2025 года №33-ФЗ                    «Об общих принципах организации местного самоуправления в единой системе публичной власти», от 31 июля 2020 года №248-ФЗ                                 «О государственном контроле (надзоре) и муниципальном контроле в Российской Федерации», в связи со вступлением в силу Федерального закона от 29 декабря 2025 года № 567-ФЗ «О внесении изменений в Федеральный закон «О государственном контроле (надзоре) и муниципальном контроле в Российской Федерации»</w:t>
      </w:r>
      <w:r>
        <w:rPr>
          <w:color w:val="000000"/>
          <w:sz w:val="28"/>
          <w:szCs w:val="28"/>
        </w:rPr>
        <w:t>, Постановлением Правительства РФ                                     от 10 марта 2022 года № 336 «Об особенностях организации и осуществления государственного контроля (надзора), муниципального контроля»</w:t>
      </w:r>
      <w:r>
        <w:rPr>
          <w:sz w:val="28"/>
          <w:szCs w:val="28"/>
        </w:rPr>
        <w:t xml:space="preserve">, в связи с принятием </w:t>
      </w:r>
      <w:r>
        <w:rPr>
          <w:bCs/>
          <w:sz w:val="28"/>
          <w:szCs w:val="28"/>
        </w:rPr>
        <w:t>закона Белгородской области</w:t>
      </w:r>
      <w:r>
        <w:rPr>
          <w:sz w:val="28"/>
          <w:szCs w:val="28"/>
        </w:rPr>
        <w:t xml:space="preserve"> от 25 февраля 2025 года № 461 «О преобразовании всех поселений, входящих в состав муниципального района «Ровеньский район» Белгородской области», руководствуясь Уставом Ровеньского муниципального округа Белгородской области, принятого Советом депутатов Ровеньского муниципального округа 30 октября 2025 года № 2/23, Совет депутатов Ровеньского муниципального округа Белгородской области </w:t>
      </w:r>
      <w:r>
        <w:rPr>
          <w:b/>
          <w:sz w:val="28"/>
          <w:szCs w:val="28"/>
        </w:rPr>
        <w:t>р е ш и л :</w:t>
      </w:r>
    </w:p>
    <w:p>
      <w:pPr>
        <w:pStyle w:val="ConsPlusNormal"/>
        <w:tabs>
          <w:tab w:val="clear" w:pos="709"/>
          <w:tab w:val="left" w:pos="1134" w:leader="none"/>
        </w:tabs>
        <w:ind w:firstLine="705"/>
        <w:jc w:val="both"/>
        <w:rPr>
          <w:sz w:val="28"/>
          <w:szCs w:val="28"/>
        </w:rPr>
      </w:pPr>
      <w:r>
        <w:rPr>
          <w:sz w:val="28"/>
          <w:szCs w:val="28"/>
        </w:rPr>
        <w:t>1. Утвердить Положение о муниципальном земельном контроле на территории Ровеньского муниципального округа Белгородской области (далее - Положение, приложение № 1).</w:t>
      </w:r>
    </w:p>
    <w:p>
      <w:pPr>
        <w:pStyle w:val="ConsPlusNormal"/>
        <w:tabs>
          <w:tab w:val="clear" w:pos="709"/>
          <w:tab w:val="left" w:pos="1134" w:leader="none"/>
        </w:tabs>
        <w:ind w:firstLine="705"/>
        <w:jc w:val="both"/>
        <w:rPr>
          <w:sz w:val="28"/>
          <w:szCs w:val="28"/>
        </w:rPr>
      </w:pPr>
      <w:r>
        <w:rPr>
          <w:sz w:val="28"/>
          <w:szCs w:val="28"/>
        </w:rPr>
        <w:t>2. Утвердить Перечень индикаторов риска нарушения обязательных требований, используемые для определения необходимости проведения внеплановых проверок при осуществлении Администрацией Ровеньского муниципального округа муниципального земельного контроля (приложение № 2).</w:t>
      </w:r>
    </w:p>
    <w:p>
      <w:pPr>
        <w:pStyle w:val="ConsPlusNormal"/>
        <w:tabs>
          <w:tab w:val="clear" w:pos="709"/>
          <w:tab w:val="left" w:pos="1134" w:leader="none"/>
        </w:tabs>
        <w:ind w:firstLine="705"/>
        <w:jc w:val="both"/>
        <w:rPr>
          <w:sz w:val="28"/>
          <w:szCs w:val="28"/>
        </w:rPr>
      </w:pPr>
      <w:r>
        <w:rPr>
          <w:sz w:val="28"/>
          <w:szCs w:val="28"/>
          <w:highlight w:val="white"/>
        </w:rPr>
        <w:t>3. Признать утратившим силу решение Совета депутатов Ровеньского муниципального округа от 28 ноября 2025 года № 4/79                                                                          «Об утверждении Положения о муниципальном земельном контроле на территории Ровеньского мун</w:t>
      </w:r>
      <w:r>
        <w:rPr>
          <w:sz w:val="28"/>
          <w:szCs w:val="28"/>
        </w:rPr>
        <w:t>иципального округа».</w:t>
      </w:r>
    </w:p>
    <w:p>
      <w:pPr>
        <w:pStyle w:val="ConsPlusNormal"/>
        <w:suppressLineNumbers w:val="0"/>
        <w:tabs>
          <w:tab w:val="clear" w:pos="709"/>
          <w:tab w:val="left" w:pos="1134" w:leader="none"/>
        </w:tabs>
        <w:ind w:firstLine="720"/>
        <w:jc w:val="both"/>
        <w:rPr>
          <w:sz w:val="28"/>
          <w:szCs w:val="28"/>
        </w:rPr>
      </w:pPr>
      <w:r>
        <w:rPr>
          <w:sz w:val="28"/>
          <w:szCs w:val="28"/>
        </w:rPr>
        <w:t>4. Настоящее решение вступает в силу со дня его официального опубликования.</w:t>
      </w:r>
    </w:p>
    <w:p>
      <w:pPr>
        <w:pStyle w:val="ConsPlusNormal"/>
        <w:suppressLineNumbers w:val="0"/>
        <w:spacing w:lineRule="auto" w:line="221" w:before="0" w:after="0"/>
        <w:ind w:firstLine="720"/>
        <w:contextualSpacing/>
        <w:jc w:val="both"/>
        <w:rPr>
          <w:rFonts w:ascii="Times New Roman" w:hAnsi="Times New Roman"/>
          <w:sz w:val="28"/>
          <w:szCs w:val="28"/>
        </w:rPr>
      </w:pPr>
      <w:r>
        <w:rPr>
          <w:sz w:val="28"/>
          <w:szCs w:val="28"/>
        </w:rPr>
        <w:t>5. Опубликовать решение в сетевом издании «Ровеньская нива», разместить на официальном сайте органов местного самоуправления в информационно-телекоммуникационной сети «Интернет»</w:t>
      </w:r>
      <w:r>
        <w:rPr>
          <w:rFonts w:eastAsia="Times New Roman"/>
          <w:color w:val="000000"/>
          <w:sz w:val="28"/>
          <w:szCs w:val="28"/>
          <w:lang w:eastAsia="ru-RU"/>
        </w:rPr>
        <w:t xml:space="preserve"> (</w:t>
      </w:r>
      <w:hyperlink r:id="rId3" w:tooltip="https://rovenkiadm.gosuslugi.ru/">
        <w:r>
          <w:rPr>
            <w:rStyle w:val="Hyperlink"/>
            <w:rFonts w:eastAsia="Times New Roman"/>
            <w:color w:val="000000"/>
            <w:sz w:val="28"/>
            <w:szCs w:val="28"/>
            <w:lang w:eastAsia="ru-RU"/>
          </w:rPr>
          <w:t>https://rovenkiadm.gosuslugi.ru</w:t>
        </w:r>
      </w:hyperlink>
      <w:r>
        <w:rPr>
          <w:rFonts w:eastAsia="Times New Roman"/>
          <w:color w:val="000000"/>
          <w:sz w:val="28"/>
          <w:szCs w:val="28"/>
          <w:lang w:eastAsia="ru-RU"/>
        </w:rPr>
        <w:t>)</w:t>
      </w:r>
      <w:r>
        <w:rPr>
          <w:sz w:val="28"/>
          <w:szCs w:val="28"/>
        </w:rPr>
        <w:t>.</w:t>
      </w:r>
    </w:p>
    <w:p>
      <w:pPr>
        <w:pStyle w:val="ConsPlusNormal"/>
        <w:suppressLineNumbers w:val="0"/>
        <w:spacing w:lineRule="auto" w:line="221" w:before="0" w:after="0"/>
        <w:ind w:firstLine="720"/>
        <w:contextualSpacing/>
        <w:jc w:val="both"/>
        <w:rPr>
          <w:rFonts w:ascii="Times New Roman" w:hAnsi="Times New Roman"/>
          <w:sz w:val="28"/>
          <w:szCs w:val="28"/>
        </w:rPr>
      </w:pPr>
      <w:r>
        <w:rPr>
          <w:rFonts w:eastAsia="Times New Roman" w:cs="Times New Roman"/>
          <w:sz w:val="28"/>
          <w:szCs w:val="28"/>
        </w:rPr>
        <w:t xml:space="preserve">6. </w:t>
      </w:r>
      <w:r>
        <w:rPr>
          <w:rFonts w:eastAsia="Times New Roman"/>
          <w:sz w:val="28"/>
          <w:szCs w:val="28"/>
          <w:highlight w:val="white"/>
        </w:rPr>
        <w:t>Контроль за выполнением решения возложить на постоянную комиссию Совета депутатов Ровеньского муниципального округа Белгородской области по градостроительству</w:t>
      </w:r>
      <w:r>
        <w:rPr>
          <w:rFonts w:eastAsia="Times New Roman"/>
          <w:sz w:val="28"/>
          <w:szCs w:val="28"/>
        </w:rPr>
        <w:t>, жилищно-коммунальному хозяйству и вопросам экологии.</w:t>
      </w:r>
    </w:p>
    <w:p>
      <w:pPr>
        <w:pStyle w:val="ConsPlusNormal"/>
        <w:suppressLineNumbers w:val="0"/>
        <w:spacing w:lineRule="auto" w:line="221" w:before="0" w:after="0"/>
        <w:ind w:firstLine="720"/>
        <w:contextualSpacing/>
        <w:jc w:val="both"/>
        <w:rPr>
          <w:rFonts w:ascii="Times New Roman" w:hAnsi="Times New Roman"/>
          <w:sz w:val="28"/>
          <w:szCs w:val="28"/>
        </w:rPr>
      </w:pPr>
      <w:r>
        <w:rPr>
          <w:sz w:val="28"/>
          <w:szCs w:val="28"/>
        </w:rPr>
      </w:r>
    </w:p>
    <w:p>
      <w:pPr>
        <w:pStyle w:val="ConsPlusNormal"/>
        <w:spacing w:lineRule="auto" w:line="221" w:before="0" w:after="0"/>
        <w:ind w:firstLine="540"/>
        <w:contextualSpacing/>
        <w:jc w:val="both"/>
        <w:rPr>
          <w:rFonts w:ascii="Times New Roman" w:hAnsi="Times New Roman" w:eastAsia="Times New Roman" w:cs="Times New Roman"/>
          <w:sz w:val="28"/>
          <w:szCs w:val="28"/>
          <w:highlight w:val="none"/>
        </w:rPr>
      </w:pPr>
      <w:r>
        <w:rPr>
          <w:rFonts w:eastAsia="Times New Roman" w:cs="Times New Roman"/>
          <w:sz w:val="28"/>
          <w:szCs w:val="28"/>
        </w:rPr>
      </w:r>
    </w:p>
    <w:p>
      <w:pPr>
        <w:pStyle w:val="ConsPlusNormal"/>
        <w:spacing w:lineRule="auto" w:line="221" w:before="0" w:after="0"/>
        <w:ind w:hanging="0"/>
        <w:contextualSpacing/>
        <w:jc w:val="both"/>
        <w:rPr>
          <w:rFonts w:ascii="Times New Roman" w:hAnsi="Times New Roman" w:eastAsia="Times New Roman" w:cs="Times New Roman"/>
          <w:sz w:val="28"/>
          <w:szCs w:val="28"/>
          <w:highlight w:val="none"/>
        </w:rPr>
      </w:pPr>
      <w:r>
        <w:rPr>
          <w:rFonts w:eastAsia="Times New Roman" w:cs="Times New Roman"/>
          <w:sz w:val="28"/>
          <w:szCs w:val="28"/>
        </w:rPr>
      </w:r>
    </w:p>
    <w:p>
      <w:pPr>
        <w:pStyle w:val="Normal"/>
        <w:shd w:val="clear" w:color="auto" w:fill="FFFFFF"/>
        <w:spacing w:lineRule="auto" w:line="221"/>
        <w:rPr>
          <w:rFonts w:ascii="Times New Roman" w:hAnsi="Times New Roman"/>
          <w:b/>
          <w:color w:val="000000"/>
          <w:sz w:val="28"/>
          <w:szCs w:val="28"/>
        </w:rPr>
      </w:pPr>
      <w:r>
        <w:rPr>
          <w:b/>
          <w:color w:val="000000"/>
          <w:sz w:val="28"/>
          <w:szCs w:val="28"/>
        </w:rPr>
        <w:t>Председатель Совета депутатов</w:t>
      </w:r>
    </w:p>
    <w:p>
      <w:pPr>
        <w:pStyle w:val="Normal"/>
        <w:shd w:val="clear" w:color="auto" w:fill="FFFFFF"/>
        <w:spacing w:lineRule="auto" w:line="221"/>
        <w:rPr>
          <w:rFonts w:ascii="Times New Roman" w:hAnsi="Times New Roman"/>
          <w:b/>
          <w:color w:val="000000"/>
          <w:sz w:val="28"/>
          <w:szCs w:val="28"/>
        </w:rPr>
      </w:pPr>
      <w:r>
        <w:rPr>
          <w:b/>
          <w:color w:val="000000"/>
          <w:sz w:val="28"/>
          <w:szCs w:val="28"/>
        </w:rPr>
        <w:t>Ровеньского муниципального округа</w:t>
      </w:r>
    </w:p>
    <w:p>
      <w:pPr>
        <w:pStyle w:val="Normal"/>
        <w:shd w:val="clear" w:color="auto" w:fill="FFFFFF"/>
        <w:spacing w:lineRule="auto" w:line="221"/>
        <w:rPr>
          <w:rFonts w:ascii="Times New Roman" w:hAnsi="Times New Roman"/>
          <w:b/>
          <w:color w:val="000000"/>
          <w:sz w:val="28"/>
          <w:szCs w:val="28"/>
        </w:rPr>
      </w:pPr>
      <w:r>
        <w:rPr>
          <w:b/>
          <w:color w:val="000000"/>
          <w:sz w:val="28"/>
          <w:szCs w:val="28"/>
        </w:rPr>
        <w:t>Белгородской области                                                                  В. А. Некрасов</w:t>
      </w:r>
    </w:p>
    <w:p>
      <w:pPr>
        <w:pStyle w:val="Normal"/>
        <w:shd w:val="clear" w:color="auto" w:fill="FFFFFF"/>
        <w:spacing w:lineRule="auto" w:line="221"/>
        <w:rPr>
          <w:rFonts w:ascii="Times New Roman" w:hAnsi="Times New Roman"/>
          <w:b/>
          <w:color w:val="000000"/>
          <w:sz w:val="28"/>
          <w:szCs w:val="28"/>
        </w:rPr>
      </w:pPr>
      <w:r>
        <w:rPr>
          <w:b/>
          <w:color w:val="000000"/>
          <w:sz w:val="28"/>
          <w:szCs w:val="28"/>
        </w:rPr>
      </w:r>
    </w:p>
    <w:p>
      <w:pPr>
        <w:pStyle w:val="Normal"/>
        <w:spacing w:lineRule="auto" w:line="240"/>
        <w:jc w:val="both"/>
        <w:rPr/>
      </w:pPr>
      <w:r>
        <w:rPr>
          <w:rFonts w:eastAsia="Times New Roman" w:cs="Times New Roman"/>
          <w:b/>
          <w:bCs/>
          <w:color w:val="000000"/>
          <w:sz w:val="28"/>
          <w:szCs w:val="28"/>
        </w:rPr>
        <w:t xml:space="preserve">И.о.  Главы Ровеньского муниципального </w:t>
      </w:r>
    </w:p>
    <w:p>
      <w:pPr>
        <w:pStyle w:val="Normal"/>
        <w:shd w:val="clear" w:color="auto" w:fill="FFFFFF"/>
        <w:spacing w:lineRule="auto" w:line="221"/>
        <w:rPr>
          <w:rFonts w:ascii="Times New Roman" w:hAnsi="Times New Roman"/>
          <w:b/>
          <w:color w:val="000000"/>
          <w:sz w:val="28"/>
          <w:szCs w:val="28"/>
        </w:rPr>
      </w:pPr>
      <w:r>
        <w:rPr>
          <w:rFonts w:eastAsia="Times New Roman" w:cs="Times New Roman"/>
          <w:b/>
          <w:bCs/>
          <w:color w:val="000000"/>
          <w:sz w:val="28"/>
          <w:szCs w:val="28"/>
        </w:rPr>
        <w:t xml:space="preserve">округа Белгородской области                                                 Ю.П. Карпушин </w:t>
      </w:r>
    </w:p>
    <w:p>
      <w:pPr>
        <w:pStyle w:val="ConsPlusNormal"/>
        <w:widowControl w:val="false"/>
        <w:ind w:left="4962" w:right="-1"/>
        <w:jc w:val="center"/>
        <w:rPr>
          <w:sz w:val="28"/>
          <w:szCs w:val="28"/>
        </w:rPr>
      </w:pPr>
      <w:r>
        <w:rPr>
          <w:sz w:val="28"/>
          <w:szCs w:val="28"/>
        </w:rPr>
      </w:r>
    </w:p>
    <w:p>
      <w:pPr>
        <w:pStyle w:val="ConsPlusNormal"/>
        <w:widowControl w:val="false"/>
        <w:ind w:left="4962" w:right="-1"/>
        <w:jc w:val="center"/>
        <w:rPr>
          <w:sz w:val="28"/>
          <w:szCs w:val="28"/>
          <w:highlight w:val="none"/>
        </w:rPr>
      </w:pPr>
      <w:r>
        <w:rPr>
          <w:sz w:val="28"/>
          <w:szCs w:val="28"/>
        </w:rPr>
      </w:r>
    </w:p>
    <w:p>
      <w:pPr>
        <w:pStyle w:val="ConsPlusNormal"/>
        <w:widowControl w:val="false"/>
        <w:ind w:left="4962" w:right="-1"/>
        <w:jc w:val="center"/>
        <w:rPr>
          <w:sz w:val="28"/>
          <w:szCs w:val="28"/>
          <w:highlight w:val="none"/>
        </w:rPr>
      </w:pPr>
      <w:r>
        <w:rPr>
          <w:sz w:val="28"/>
          <w:szCs w:val="28"/>
        </w:rPr>
      </w:r>
    </w:p>
    <w:p>
      <w:pPr>
        <w:pStyle w:val="ConsPlusNormal"/>
        <w:widowControl w:val="false"/>
        <w:ind w:left="4962" w:right="-1"/>
        <w:jc w:val="center"/>
        <w:rPr>
          <w:sz w:val="28"/>
          <w:szCs w:val="28"/>
          <w:highlight w:val="none"/>
        </w:rPr>
      </w:pPr>
      <w:r>
        <w:rPr>
          <w:sz w:val="28"/>
          <w:szCs w:val="28"/>
        </w:rPr>
      </w:r>
    </w:p>
    <w:p>
      <w:pPr>
        <w:pStyle w:val="ConsPlusNormal"/>
        <w:widowControl w:val="false"/>
        <w:ind w:left="4962" w:right="-1"/>
        <w:jc w:val="center"/>
        <w:rPr>
          <w:sz w:val="28"/>
          <w:szCs w:val="28"/>
          <w:highlight w:val="none"/>
        </w:rPr>
      </w:pPr>
      <w:r>
        <w:rPr>
          <w:sz w:val="28"/>
          <w:szCs w:val="28"/>
        </w:rPr>
      </w:r>
    </w:p>
    <w:p>
      <w:pPr>
        <w:pStyle w:val="ConsPlusNormal"/>
        <w:widowControl w:val="false"/>
        <w:ind w:left="4962" w:right="-1"/>
        <w:jc w:val="center"/>
        <w:rPr>
          <w:sz w:val="28"/>
          <w:szCs w:val="28"/>
          <w:highlight w:val="none"/>
        </w:rPr>
      </w:pPr>
      <w:r>
        <w:rPr>
          <w:sz w:val="28"/>
          <w:szCs w:val="28"/>
        </w:rPr>
      </w:r>
    </w:p>
    <w:p>
      <w:pPr>
        <w:pStyle w:val="ConsPlusNormal"/>
        <w:widowControl w:val="false"/>
        <w:ind w:left="4962" w:right="-1"/>
        <w:jc w:val="center"/>
        <w:rPr>
          <w:sz w:val="28"/>
          <w:szCs w:val="28"/>
          <w:highlight w:val="none"/>
        </w:rPr>
      </w:pPr>
      <w:r>
        <w:rPr>
          <w:sz w:val="28"/>
          <w:szCs w:val="28"/>
        </w:rPr>
      </w:r>
    </w:p>
    <w:p>
      <w:pPr>
        <w:pStyle w:val="ConsPlusNormal"/>
        <w:widowControl w:val="false"/>
        <w:ind w:left="4962" w:right="-1"/>
        <w:jc w:val="center"/>
        <w:rPr>
          <w:sz w:val="28"/>
          <w:szCs w:val="28"/>
          <w:highlight w:val="none"/>
        </w:rPr>
      </w:pPr>
      <w:r>
        <w:rPr>
          <w:sz w:val="28"/>
          <w:szCs w:val="28"/>
        </w:rPr>
      </w:r>
    </w:p>
    <w:p>
      <w:pPr>
        <w:pStyle w:val="ConsPlusNormal"/>
        <w:widowControl w:val="false"/>
        <w:ind w:left="4962" w:right="-1"/>
        <w:jc w:val="center"/>
        <w:rPr>
          <w:sz w:val="28"/>
          <w:szCs w:val="28"/>
          <w:highlight w:val="none"/>
        </w:rPr>
      </w:pPr>
      <w:r>
        <w:rPr>
          <w:sz w:val="28"/>
          <w:szCs w:val="28"/>
        </w:rPr>
      </w:r>
    </w:p>
    <w:p>
      <w:pPr>
        <w:pStyle w:val="ConsPlusNormal"/>
        <w:widowControl w:val="false"/>
        <w:ind w:left="4962" w:right="-1"/>
        <w:jc w:val="center"/>
        <w:rPr>
          <w:sz w:val="28"/>
          <w:szCs w:val="28"/>
          <w:highlight w:val="none"/>
        </w:rPr>
      </w:pPr>
      <w:r>
        <w:rPr>
          <w:sz w:val="28"/>
          <w:szCs w:val="28"/>
        </w:rPr>
      </w:r>
    </w:p>
    <w:p>
      <w:pPr>
        <w:pStyle w:val="ConsPlusNormal"/>
        <w:widowControl w:val="false"/>
        <w:ind w:left="4962" w:right="-1"/>
        <w:jc w:val="center"/>
        <w:rPr>
          <w:sz w:val="28"/>
          <w:szCs w:val="28"/>
          <w:highlight w:val="none"/>
        </w:rPr>
      </w:pPr>
      <w:r>
        <w:rPr>
          <w:sz w:val="28"/>
          <w:szCs w:val="28"/>
        </w:rPr>
      </w:r>
    </w:p>
    <w:p>
      <w:pPr>
        <w:pStyle w:val="ConsPlusNormal"/>
        <w:widowControl w:val="false"/>
        <w:ind w:left="4962" w:right="-1"/>
        <w:jc w:val="center"/>
        <w:rPr>
          <w:sz w:val="28"/>
          <w:szCs w:val="28"/>
          <w:highlight w:val="none"/>
        </w:rPr>
      </w:pPr>
      <w:r>
        <w:rPr>
          <w:sz w:val="28"/>
          <w:szCs w:val="28"/>
        </w:rPr>
      </w:r>
    </w:p>
    <w:p>
      <w:pPr>
        <w:pStyle w:val="ConsPlusNormal"/>
        <w:widowControl w:val="false"/>
        <w:ind w:left="4962" w:right="-1"/>
        <w:jc w:val="center"/>
        <w:rPr>
          <w:sz w:val="28"/>
          <w:szCs w:val="28"/>
          <w:highlight w:val="none"/>
        </w:rPr>
      </w:pPr>
      <w:r>
        <w:rPr>
          <w:sz w:val="28"/>
          <w:szCs w:val="28"/>
        </w:rPr>
      </w:r>
    </w:p>
    <w:p>
      <w:pPr>
        <w:pStyle w:val="ConsPlusNormal"/>
        <w:widowControl w:val="false"/>
        <w:ind w:left="4962" w:right="-1"/>
        <w:jc w:val="center"/>
        <w:rPr>
          <w:sz w:val="28"/>
          <w:szCs w:val="28"/>
          <w:highlight w:val="none"/>
        </w:rPr>
      </w:pPr>
      <w:r>
        <w:rPr>
          <w:sz w:val="28"/>
          <w:szCs w:val="28"/>
        </w:rPr>
      </w:r>
    </w:p>
    <w:p>
      <w:pPr>
        <w:pStyle w:val="ConsPlusNormal"/>
        <w:widowControl w:val="false"/>
        <w:ind w:left="4962" w:right="-1"/>
        <w:jc w:val="center"/>
        <w:rPr>
          <w:sz w:val="28"/>
          <w:szCs w:val="28"/>
          <w:highlight w:val="none"/>
        </w:rPr>
      </w:pPr>
      <w:r>
        <w:rPr>
          <w:sz w:val="28"/>
          <w:szCs w:val="28"/>
        </w:rPr>
      </w:r>
    </w:p>
    <w:p>
      <w:pPr>
        <w:pStyle w:val="ConsPlusNormal"/>
        <w:widowControl w:val="false"/>
        <w:ind w:left="4962" w:right="-1"/>
        <w:jc w:val="center"/>
        <w:rPr>
          <w:sz w:val="28"/>
          <w:szCs w:val="28"/>
          <w:highlight w:val="none"/>
        </w:rPr>
      </w:pPr>
      <w:r>
        <w:rPr>
          <w:sz w:val="28"/>
          <w:szCs w:val="28"/>
        </w:rPr>
      </w:r>
    </w:p>
    <w:p>
      <w:pPr>
        <w:pStyle w:val="ConsPlusNormal"/>
        <w:widowControl w:val="false"/>
        <w:ind w:left="4962" w:right="-1"/>
        <w:jc w:val="center"/>
        <w:rPr>
          <w:sz w:val="28"/>
          <w:szCs w:val="28"/>
          <w:highlight w:val="none"/>
        </w:rPr>
      </w:pPr>
      <w:r>
        <w:rPr>
          <w:sz w:val="28"/>
          <w:szCs w:val="28"/>
        </w:rPr>
      </w:r>
    </w:p>
    <w:p>
      <w:pPr>
        <w:pStyle w:val="ConsPlusNormal"/>
        <w:widowControl w:val="false"/>
        <w:ind w:left="4962" w:right="-1"/>
        <w:jc w:val="center"/>
        <w:rPr>
          <w:sz w:val="28"/>
          <w:szCs w:val="28"/>
          <w:highlight w:val="none"/>
        </w:rPr>
      </w:pPr>
      <w:r>
        <w:rPr>
          <w:sz w:val="28"/>
          <w:szCs w:val="28"/>
        </w:rPr>
      </w:r>
    </w:p>
    <w:p>
      <w:pPr>
        <w:pStyle w:val="ConsPlusNormal"/>
        <w:widowControl w:val="false"/>
        <w:ind w:left="4962" w:right="-1"/>
        <w:jc w:val="center"/>
        <w:rPr>
          <w:sz w:val="28"/>
          <w:szCs w:val="28"/>
          <w:highlight w:val="none"/>
        </w:rPr>
      </w:pPr>
      <w:r>
        <w:rPr>
          <w:sz w:val="28"/>
          <w:szCs w:val="28"/>
        </w:rPr>
      </w:r>
    </w:p>
    <w:p>
      <w:pPr>
        <w:pStyle w:val="ConsPlusNormal"/>
        <w:widowControl w:val="false"/>
        <w:ind w:left="4962" w:right="-1"/>
        <w:jc w:val="center"/>
        <w:rPr>
          <w:sz w:val="28"/>
          <w:szCs w:val="28"/>
          <w:highlight w:val="none"/>
        </w:rPr>
      </w:pPr>
      <w:r>
        <w:rPr>
          <w:sz w:val="28"/>
          <w:szCs w:val="28"/>
        </w:rPr>
      </w:r>
    </w:p>
    <w:p>
      <w:pPr>
        <w:pStyle w:val="ConsPlusNormal"/>
        <w:widowControl w:val="false"/>
        <w:ind w:left="4962" w:right="-1"/>
        <w:jc w:val="center"/>
        <w:rPr>
          <w:sz w:val="28"/>
          <w:szCs w:val="28"/>
          <w:highlight w:val="none"/>
        </w:rPr>
      </w:pPr>
      <w:r>
        <w:rPr>
          <w:sz w:val="28"/>
          <w:szCs w:val="28"/>
        </w:rPr>
      </w:r>
    </w:p>
    <w:p>
      <w:pPr>
        <w:pStyle w:val="ConsPlusNormal"/>
        <w:widowControl w:val="false"/>
        <w:ind w:left="4962" w:right="-1"/>
        <w:jc w:val="center"/>
        <w:rPr>
          <w:sz w:val="28"/>
          <w:szCs w:val="28"/>
          <w:highlight w:val="none"/>
        </w:rPr>
      </w:pPr>
      <w:r>
        <w:rPr>
          <w:sz w:val="28"/>
          <w:szCs w:val="28"/>
        </w:rPr>
      </w:r>
    </w:p>
    <w:p>
      <w:pPr>
        <w:pStyle w:val="ConsPlusNormal"/>
        <w:widowControl w:val="false"/>
        <w:ind w:left="4962" w:right="-1"/>
        <w:jc w:val="center"/>
        <w:rPr>
          <w:sz w:val="28"/>
          <w:szCs w:val="28"/>
          <w:highlight w:val="none"/>
        </w:rPr>
      </w:pPr>
      <w:r>
        <w:rPr>
          <w:sz w:val="28"/>
          <w:szCs w:val="28"/>
        </w:rPr>
      </w:r>
    </w:p>
    <w:p>
      <w:pPr>
        <w:pStyle w:val="ConsPlusNormal"/>
        <w:widowControl w:val="false"/>
        <w:ind w:left="4962" w:right="-1"/>
        <w:jc w:val="center"/>
        <w:rPr>
          <w:sz w:val="28"/>
          <w:szCs w:val="28"/>
          <w:highlight w:val="none"/>
        </w:rPr>
      </w:pPr>
      <w:r>
        <w:rPr>
          <w:sz w:val="28"/>
          <w:szCs w:val="28"/>
        </w:rPr>
      </w:r>
    </w:p>
    <w:p>
      <w:pPr>
        <w:pStyle w:val="ConsPlusNormal"/>
        <w:widowControl w:val="false"/>
        <w:ind w:left="0" w:right="-1"/>
        <w:jc w:val="right"/>
        <w:rPr>
          <w:sz w:val="28"/>
          <w:szCs w:val="28"/>
          <w:highlight w:val="none"/>
        </w:rPr>
      </w:pPr>
      <w:r>
        <w:rPr>
          <w:sz w:val="28"/>
          <w:szCs w:val="28"/>
        </w:rPr>
        <w:t>Приложение 1</w:t>
      </w:r>
    </w:p>
    <w:p>
      <w:pPr>
        <w:pStyle w:val="ConsPlusNormal"/>
        <w:widowControl w:val="false"/>
        <w:ind w:left="4962" w:right="-1"/>
        <w:jc w:val="right"/>
        <w:rPr>
          <w:sz w:val="28"/>
          <w:szCs w:val="28"/>
        </w:rPr>
      </w:pPr>
      <w:r>
        <w:rPr>
          <w:sz w:val="28"/>
          <w:szCs w:val="28"/>
        </w:rPr>
        <w:t>к решению Совета депутатов Ровеньского муниципального округа Белгородской области</w:t>
      </w:r>
    </w:p>
    <w:p>
      <w:pPr>
        <w:pStyle w:val="ConsPlusNormal"/>
        <w:widowControl w:val="false"/>
        <w:ind w:left="4962" w:right="-1"/>
        <w:jc w:val="both"/>
        <w:rPr>
          <w:sz w:val="28"/>
          <w:szCs w:val="28"/>
        </w:rPr>
      </w:pPr>
      <w:r>
        <w:rPr>
          <w:sz w:val="28"/>
          <w:szCs w:val="28"/>
        </w:rPr>
        <w:t xml:space="preserve">         </w:t>
      </w:r>
      <w:r>
        <w:rPr>
          <w:sz w:val="28"/>
          <w:szCs w:val="28"/>
        </w:rPr>
        <w:t xml:space="preserve">от </w:t>
      </w:r>
      <w:r>
        <w:rPr>
          <w:sz w:val="28"/>
          <w:szCs w:val="28"/>
        </w:rPr>
        <w:t xml:space="preserve">28 июля </w:t>
      </w:r>
      <w:r>
        <w:rPr>
          <w:sz w:val="28"/>
          <w:szCs w:val="28"/>
        </w:rPr>
        <w:t xml:space="preserve">2026 года № </w:t>
      </w:r>
      <w:r>
        <w:rPr>
          <w:sz w:val="28"/>
          <w:szCs w:val="28"/>
        </w:rPr>
        <w:t>14/198</w:t>
      </w:r>
    </w:p>
    <w:p>
      <w:pPr>
        <w:pStyle w:val="ConsPlusNormal"/>
        <w:jc w:val="center"/>
        <w:rPr>
          <w:sz w:val="24"/>
          <w:szCs w:val="24"/>
        </w:rPr>
      </w:pPr>
      <w:r>
        <w:rPr>
          <w:sz w:val="28"/>
          <w:szCs w:val="28"/>
        </w:rPr>
        <w:t xml:space="preserve">                                                                     </w:t>
      </w:r>
    </w:p>
    <w:p>
      <w:pPr>
        <w:pStyle w:val="ConsPlusNormal"/>
        <w:tabs>
          <w:tab w:val="clear" w:pos="709"/>
          <w:tab w:val="left" w:pos="1134" w:leader="none"/>
        </w:tabs>
        <w:ind w:firstLine="705"/>
        <w:jc w:val="both"/>
        <w:rPr>
          <w:sz w:val="28"/>
          <w:szCs w:val="28"/>
        </w:rPr>
      </w:pPr>
      <w:r>
        <w:rPr>
          <w:sz w:val="28"/>
          <w:szCs w:val="28"/>
        </w:rPr>
      </w:r>
    </w:p>
    <w:p>
      <w:pPr>
        <w:pStyle w:val="ConsPlusNormal"/>
        <w:widowControl w:val="false"/>
        <w:spacing w:before="0" w:after="0"/>
        <w:contextualSpacing/>
        <w:jc w:val="center"/>
        <w:rPr>
          <w:b/>
          <w:sz w:val="28"/>
          <w:szCs w:val="28"/>
        </w:rPr>
      </w:pPr>
      <w:r>
        <w:rPr>
          <w:b/>
          <w:sz w:val="28"/>
          <w:szCs w:val="28"/>
        </w:rPr>
        <w:t>Положение</w:t>
        <w:br/>
        <w:t>о муниципальном земельном контроле на территории                Ровеньского муниципального округа Белгородской области</w:t>
      </w:r>
    </w:p>
    <w:p>
      <w:pPr>
        <w:pStyle w:val="ConsPlusNormal"/>
        <w:tabs>
          <w:tab w:val="clear" w:pos="709"/>
          <w:tab w:val="left" w:pos="1134" w:leader="none"/>
        </w:tabs>
        <w:ind w:firstLine="705"/>
        <w:jc w:val="both"/>
        <w:rPr>
          <w:sz w:val="28"/>
          <w:szCs w:val="28"/>
        </w:rPr>
      </w:pPr>
      <w:r>
        <w:rPr>
          <w:sz w:val="28"/>
          <w:szCs w:val="28"/>
        </w:rPr>
      </w:r>
    </w:p>
    <w:p>
      <w:pPr>
        <w:pStyle w:val="ConsPlusNormal"/>
        <w:jc w:val="center"/>
        <w:rPr>
          <w:b/>
          <w:sz w:val="28"/>
          <w:szCs w:val="28"/>
          <w:highlight w:val="none"/>
        </w:rPr>
      </w:pPr>
      <w:bookmarkStart w:id="0" w:name="undefined"/>
      <w:bookmarkEnd w:id="0"/>
      <w:r>
        <w:rPr>
          <w:b/>
          <w:sz w:val="28"/>
          <w:szCs w:val="28"/>
        </w:rPr>
        <w:t>1. Общие положения</w:t>
      </w:r>
    </w:p>
    <w:p>
      <w:pPr>
        <w:pStyle w:val="ConsPlusNormal"/>
        <w:jc w:val="center"/>
        <w:rPr>
          <w:sz w:val="28"/>
          <w:szCs w:val="28"/>
        </w:rPr>
      </w:pPr>
      <w:r>
        <w:rPr>
          <w:sz w:val="28"/>
          <w:szCs w:val="28"/>
        </w:rPr>
      </w:r>
    </w:p>
    <w:p>
      <w:pPr>
        <w:pStyle w:val="11"/>
        <w:numPr>
          <w:ilvl w:val="1"/>
          <w:numId w:val="1"/>
        </w:numPr>
        <w:tabs>
          <w:tab w:val="clear" w:pos="709"/>
          <w:tab w:val="left" w:pos="1315" w:leader="none"/>
        </w:tabs>
        <w:ind w:firstLine="720" w:left="0" w:right="0"/>
        <w:jc w:val="both"/>
        <w:rPr/>
      </w:pPr>
      <w:r>
        <w:rPr>
          <w:color w:val="000000"/>
        </w:rPr>
        <w:t>Настоящее Положение о муниципальном земельном контроле на территории Ровеньского муниципального округа Белгородской области (далее - Положение) устанавливает порядок организации и осуществления муниципального земельного контроля на территории Ровеньского муниципального округа Белгородской области (далее - муниципальный земельный контроль).</w:t>
      </w:r>
    </w:p>
    <w:p>
      <w:pPr>
        <w:pStyle w:val="11"/>
        <w:ind w:firstLine="720" w:left="0" w:right="0"/>
        <w:jc w:val="both"/>
        <w:rPr/>
      </w:pPr>
      <w:r>
        <w:rPr>
          <w:color w:val="000000"/>
        </w:rPr>
        <w:t>Муниципальный земельный контроль осуществляется посредством профилактики нарушений обязательных требований, организации и проведения контрольных (надзорных)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pPr>
        <w:pStyle w:val="ListParagraph"/>
        <w:widowControl/>
        <w:tabs>
          <w:tab w:val="clear" w:pos="709"/>
          <w:tab w:val="left" w:pos="1134" w:leader="none"/>
        </w:tabs>
        <w:ind w:firstLine="709" w:left="0"/>
        <w:jc w:val="both"/>
        <w:rPr>
          <w:rFonts w:ascii="Times New Roman" w:hAnsi="Times New Roman"/>
          <w:sz w:val="28"/>
          <w:szCs w:val="28"/>
        </w:rPr>
      </w:pPr>
      <w:r>
        <w:rPr>
          <w:sz w:val="28"/>
          <w:szCs w:val="28"/>
        </w:rPr>
        <w:t>1.2. Муниципальный земельный контроль осуществляется в соответствии с Земельным кодексом Российской Федерации, Кодексом Российской Федерации об административных правонарушениях, федеральными законами от 20 марта 2025 года № 33-ФЗ «Об общих принципах организации местного самоуправления в единой системе публичной власти», от 31 июля 2020 года № 248-ФЗ «О государственном контроле (надзоре) и муниципальном контроле в Российской Федерации» (далее - Федеральный закон от 31 июля 2020 года № 248-ФЗ).</w:t>
      </w:r>
    </w:p>
    <w:p>
      <w:pPr>
        <w:pStyle w:val="ConsPlusNormal"/>
        <w:ind w:firstLine="709"/>
        <w:jc w:val="both"/>
        <w:rPr>
          <w:sz w:val="28"/>
          <w:szCs w:val="28"/>
        </w:rPr>
      </w:pPr>
      <w:r>
        <w:rPr>
          <w:sz w:val="28"/>
          <w:szCs w:val="28"/>
        </w:rPr>
        <w:t>1.3. Предметом муниципального земельного контроля является соблюдение юридическими лицами, индивидуальными предпринимателями, гражданами (далее -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w:t>
      </w:r>
    </w:p>
    <w:p>
      <w:pPr>
        <w:pStyle w:val="ConsPlusNormal"/>
        <w:ind w:firstLine="709"/>
        <w:jc w:val="both"/>
        <w:rPr>
          <w:sz w:val="28"/>
          <w:szCs w:val="28"/>
        </w:rPr>
      </w:pPr>
      <w:r>
        <w:rPr>
          <w:sz w:val="28"/>
          <w:szCs w:val="28"/>
        </w:rPr>
        <w:t>1.4. Объектами муниципального земельного контроля (далее - объект контроля) являются:</w:t>
      </w:r>
    </w:p>
    <w:p>
      <w:pPr>
        <w:pStyle w:val="ListParagraph"/>
        <w:widowControl/>
        <w:tabs>
          <w:tab w:val="clear" w:pos="709"/>
          <w:tab w:val="left" w:pos="1134" w:leader="none"/>
        </w:tabs>
        <w:ind w:firstLine="709" w:left="0"/>
        <w:jc w:val="both"/>
        <w:rPr>
          <w:rFonts w:ascii="Times New Roman" w:hAnsi="Times New Roman"/>
          <w:sz w:val="28"/>
          <w:szCs w:val="28"/>
        </w:rPr>
      </w:pPr>
      <w:r>
        <w:rPr>
          <w:sz w:val="28"/>
          <w:szCs w:val="28"/>
        </w:rPr>
        <w:t>объекты земельных отношений (земли, земельные участки или части земельных участков), расположенные в границах Ровеньского муниципального округа Белгородской области.</w:t>
      </w:r>
    </w:p>
    <w:p>
      <w:pPr>
        <w:pStyle w:val="ListParagraph"/>
        <w:widowControl/>
        <w:tabs>
          <w:tab w:val="clear" w:pos="709"/>
          <w:tab w:val="left" w:pos="1134" w:leader="none"/>
        </w:tabs>
        <w:ind w:firstLine="709" w:left="0"/>
        <w:jc w:val="both"/>
        <w:rPr>
          <w:sz w:val="28"/>
          <w:szCs w:val="28"/>
          <w:lang w:eastAsia="zh-CN"/>
        </w:rPr>
      </w:pPr>
      <w:r>
        <w:rPr>
          <w:sz w:val="28"/>
          <w:szCs w:val="28"/>
        </w:rPr>
        <w:t xml:space="preserve">1.5. Муниципальный земельный контроль осуществляется Администрацией Ровеньского муниципального округа Белгородской области (далее – контрольный орган). Руководителем контрольного органа является Глава Ровеньского муниципального округа или лицо его замещающее (далее – руководитель Контрольного органа). </w:t>
      </w:r>
    </w:p>
    <w:p>
      <w:pPr>
        <w:pStyle w:val="ListParagraph"/>
        <w:widowControl/>
        <w:tabs>
          <w:tab w:val="clear" w:pos="709"/>
          <w:tab w:val="left" w:pos="1134" w:leader="none"/>
        </w:tabs>
        <w:ind w:firstLine="709" w:left="0"/>
        <w:jc w:val="both"/>
        <w:rPr>
          <w:rFonts w:ascii="Times New Roman" w:hAnsi="Times New Roman"/>
          <w:sz w:val="28"/>
          <w:szCs w:val="28"/>
        </w:rPr>
      </w:pPr>
      <w:r>
        <w:rPr>
          <w:sz w:val="28"/>
          <w:szCs w:val="28"/>
        </w:rPr>
        <w:t>1.6. Учет объектов муниципального контроля осуществляется посредством ведения единого реестра видов контроля, а также сбора, обработки, анализа и учета информации об объектах контроля, представляемой контролируемыми лицами, информации, получаемой в рамках межведомственного взаимодействия, и общедоступной информации.</w:t>
      </w:r>
    </w:p>
    <w:p>
      <w:pPr>
        <w:pStyle w:val="ListParagraph"/>
        <w:widowControl/>
        <w:tabs>
          <w:tab w:val="clear" w:pos="709"/>
          <w:tab w:val="left" w:pos="1134" w:leader="none"/>
        </w:tabs>
        <w:ind w:firstLine="709" w:left="0"/>
        <w:jc w:val="both"/>
        <w:rPr/>
      </w:pPr>
      <w:r>
        <w:rPr>
          <w:sz w:val="28"/>
          <w:szCs w:val="28"/>
        </w:rPr>
        <w:t>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pPr>
        <w:pStyle w:val="ListParagraph"/>
        <w:widowControl/>
        <w:tabs>
          <w:tab w:val="clear" w:pos="709"/>
          <w:tab w:val="left" w:pos="1134" w:leader="none"/>
        </w:tabs>
        <w:ind w:firstLine="709" w:left="0"/>
        <w:jc w:val="both"/>
        <w:rPr>
          <w:highlight w:val="none"/>
        </w:rPr>
      </w:pPr>
      <w:r>
        <w:rPr>
          <w:sz w:val="28"/>
          <w:szCs w:val="28"/>
        </w:rPr>
        <w:t>1.7. От имени контрольного органа муниципальный контроль вправе осуществлять следующие должностные лица Администрации Ровеньского муниципального округа Белгородской области (далее - Инспектор):</w:t>
      </w:r>
    </w:p>
    <w:p>
      <w:pPr>
        <w:pStyle w:val="ListParagraph"/>
        <w:widowControl/>
        <w:ind w:firstLine="709" w:left="0"/>
        <w:jc w:val="both"/>
        <w:rPr>
          <w:rFonts w:ascii="Times New Roman" w:hAnsi="Times New Roman"/>
          <w:sz w:val="28"/>
          <w:szCs w:val="28"/>
        </w:rPr>
      </w:pPr>
      <w:r>
        <w:rPr>
          <w:sz w:val="28"/>
          <w:szCs w:val="28"/>
        </w:rPr>
        <w:t>- первый заместитель Главы Ровеньского муниципального округа по экономике и финансам;</w:t>
      </w:r>
    </w:p>
    <w:p>
      <w:pPr>
        <w:pStyle w:val="ListParagraph"/>
        <w:widowControl/>
        <w:ind w:firstLine="709" w:left="0"/>
        <w:jc w:val="both"/>
        <w:rPr>
          <w:rFonts w:ascii="Times New Roman" w:hAnsi="Times New Roman"/>
          <w:sz w:val="28"/>
          <w:szCs w:val="28"/>
        </w:rPr>
      </w:pPr>
      <w:r>
        <w:rPr>
          <w:sz w:val="28"/>
          <w:szCs w:val="28"/>
        </w:rPr>
        <w:t>- начальник отдела земельных правоотношений управления экономического стратегического развития Администрации Ровеньского муниципального округа;</w:t>
      </w:r>
    </w:p>
    <w:p>
      <w:pPr>
        <w:pStyle w:val="ListParagraph"/>
        <w:widowControl/>
        <w:ind w:firstLine="709" w:left="0"/>
        <w:jc w:val="both"/>
        <w:rPr>
          <w:rFonts w:ascii="Times New Roman" w:hAnsi="Times New Roman"/>
          <w:sz w:val="28"/>
          <w:szCs w:val="28"/>
        </w:rPr>
      </w:pPr>
      <w:r>
        <w:rPr>
          <w:sz w:val="28"/>
          <w:szCs w:val="28"/>
        </w:rPr>
        <w:t>- заместитель начальника отдела земельных правоотношений управления экономического стратегического развития Администрации Ровеньского муниципального округа.</w:t>
      </w:r>
    </w:p>
    <w:p>
      <w:pPr>
        <w:pStyle w:val="ListParagraph"/>
        <w:widowControl/>
        <w:ind w:firstLine="709" w:left="0"/>
        <w:jc w:val="both"/>
        <w:rPr>
          <w:rFonts w:ascii="Times New Roman" w:hAnsi="Times New Roman"/>
          <w:sz w:val="28"/>
          <w:szCs w:val="28"/>
        </w:rPr>
      </w:pPr>
      <w:r>
        <w:rPr>
          <w:sz w:val="28"/>
          <w:szCs w:val="28"/>
        </w:rPr>
        <w:t xml:space="preserve">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земельному контролю. </w:t>
      </w:r>
    </w:p>
    <w:p>
      <w:pPr>
        <w:pStyle w:val="ConsPlusNormal"/>
        <w:ind w:firstLine="709"/>
        <w:jc w:val="both"/>
        <w:rPr>
          <w:sz w:val="28"/>
          <w:szCs w:val="28"/>
        </w:rPr>
      </w:pPr>
      <w:r>
        <w:rPr>
          <w:sz w:val="28"/>
          <w:szCs w:val="28"/>
        </w:rPr>
        <w:t xml:space="preserve">1.8. Принятие решений о проведении контрольных мероприятий осуществляет руководитель Контрольного органа. </w:t>
      </w:r>
    </w:p>
    <w:p>
      <w:pPr>
        <w:pStyle w:val="ConsPlusNormal"/>
        <w:ind w:firstLine="709"/>
        <w:jc w:val="both"/>
        <w:rPr>
          <w:sz w:val="28"/>
          <w:szCs w:val="28"/>
        </w:rPr>
      </w:pPr>
      <w:r>
        <w:rPr>
          <w:sz w:val="28"/>
          <w:szCs w:val="28"/>
        </w:rPr>
        <w:t>1.9. Инспектор, при осуществлении муниципального контроля, имеет права, обязанности и несет ответственность в соответствии с Федеральным законом от 31 июля 2020 года № 248-ФЗ.</w:t>
      </w:r>
    </w:p>
    <w:p>
      <w:pPr>
        <w:pStyle w:val="ListParagraph"/>
        <w:widowControl/>
        <w:tabs>
          <w:tab w:val="clear" w:pos="709"/>
          <w:tab w:val="left" w:pos="1134" w:leader="none"/>
        </w:tabs>
        <w:ind w:firstLine="709" w:left="0"/>
        <w:jc w:val="both"/>
        <w:rPr>
          <w:rFonts w:ascii="Times New Roman" w:hAnsi="Times New Roman"/>
          <w:sz w:val="28"/>
          <w:szCs w:val="28"/>
        </w:rPr>
      </w:pPr>
      <w:r>
        <w:rPr>
          <w:sz w:val="28"/>
          <w:szCs w:val="28"/>
        </w:rPr>
        <w:t xml:space="preserve">1.10.  К отношениям, связанным с осуществлением муниципального контроля, организацией и проведением профилактических мероприятий, контрольных мероприятий применяются положения Федерального                 </w:t>
      </w:r>
      <w:hyperlink r:id="rId4" w:tooltip="consultantplus://offline/ref=1D4E32A31A176726FF77A9EFC32AC1AADF1A11E10915B9C2EAEB08B6420BA89D40859BD429157DACE57252E5F3UAyEH">
        <w:r>
          <w:rPr>
            <w:rStyle w:val="Style"/>
            <w:sz w:val="28"/>
            <w:szCs w:val="28"/>
          </w:rPr>
          <w:t>закона</w:t>
        </w:r>
      </w:hyperlink>
      <w:r>
        <w:rPr>
          <w:sz w:val="28"/>
          <w:szCs w:val="28"/>
        </w:rPr>
        <w:t xml:space="preserve"> от 31 июля 2020 года № 248-ФЗ.</w:t>
      </w:r>
    </w:p>
    <w:p>
      <w:pPr>
        <w:pStyle w:val="ListParagraph"/>
        <w:widowControl/>
        <w:tabs>
          <w:tab w:val="clear" w:pos="709"/>
          <w:tab w:val="left" w:pos="1134" w:leader="none"/>
        </w:tabs>
        <w:ind w:firstLine="709" w:left="0"/>
        <w:jc w:val="both"/>
        <w:rPr>
          <w:rFonts w:ascii="Times New Roman" w:hAnsi="Times New Roman"/>
          <w:sz w:val="28"/>
          <w:szCs w:val="28"/>
        </w:rPr>
      </w:pPr>
      <w:r>
        <w:rPr>
          <w:sz w:val="28"/>
          <w:szCs w:val="28"/>
        </w:rPr>
        <w:t>Контрольный орган осуществляет муниципальный земельный контроль за соблюдением:</w:t>
      </w:r>
    </w:p>
    <w:p>
      <w:pPr>
        <w:pStyle w:val="11"/>
        <w:numPr>
          <w:ilvl w:val="0"/>
          <w:numId w:val="2"/>
        </w:numPr>
        <w:tabs>
          <w:tab w:val="clear" w:pos="709"/>
          <w:tab w:val="left" w:pos="1008" w:leader="none"/>
        </w:tabs>
        <w:spacing w:before="0" w:after="0"/>
        <w:ind w:firstLine="720" w:left="0" w:right="0"/>
        <w:jc w:val="both"/>
        <w:rPr/>
      </w:pPr>
      <w:r>
        <w:rPr>
          <w:color w:val="000000"/>
        </w:rPr>
        <w:t>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pPr>
        <w:pStyle w:val="11"/>
        <w:numPr>
          <w:ilvl w:val="0"/>
          <w:numId w:val="2"/>
        </w:numPr>
        <w:tabs>
          <w:tab w:val="clear" w:pos="709"/>
          <w:tab w:val="left" w:pos="1008" w:leader="none"/>
        </w:tabs>
        <w:spacing w:before="0" w:after="0"/>
        <w:ind w:firstLine="720" w:left="0" w:right="0"/>
        <w:jc w:val="both"/>
        <w:rPr/>
      </w:pPr>
      <w:r>
        <w:rPr>
          <w:color w:val="000000"/>
        </w:rPr>
        <w:t>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pPr>
        <w:pStyle w:val="11"/>
        <w:numPr>
          <w:ilvl w:val="0"/>
          <w:numId w:val="2"/>
        </w:numPr>
        <w:tabs>
          <w:tab w:val="clear" w:pos="709"/>
          <w:tab w:val="left" w:pos="1008" w:leader="none"/>
        </w:tabs>
        <w:spacing w:before="0" w:after="0"/>
        <w:ind w:firstLine="720" w:left="0" w:right="0"/>
        <w:jc w:val="both"/>
        <w:rPr/>
      </w:pPr>
      <w:r>
        <w:rPr>
          <w:color w:val="000000"/>
        </w:rPr>
        <w:t>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и личного подсобного хозяйства, в указанных целях в течение установленного срока;</w:t>
      </w:r>
    </w:p>
    <w:p>
      <w:pPr>
        <w:pStyle w:val="11"/>
        <w:numPr>
          <w:ilvl w:val="0"/>
          <w:numId w:val="2"/>
        </w:numPr>
        <w:tabs>
          <w:tab w:val="clear" w:pos="709"/>
          <w:tab w:val="left" w:pos="1008" w:leader="none"/>
        </w:tabs>
        <w:spacing w:before="0" w:after="0"/>
        <w:ind w:firstLine="720" w:left="0" w:right="0"/>
        <w:jc w:val="both"/>
        <w:rPr/>
      </w:pPr>
      <w:r>
        <w:rPr>
          <w:color w:val="000000"/>
        </w:rPr>
        <w:t>обязательных требований, связанных с обязанностью по приведению земель в состояние, пригодное для использования по целевому назначению;</w:t>
      </w:r>
    </w:p>
    <w:p>
      <w:pPr>
        <w:pStyle w:val="11"/>
        <w:numPr>
          <w:ilvl w:val="0"/>
          <w:numId w:val="2"/>
        </w:numPr>
        <w:tabs>
          <w:tab w:val="clear" w:pos="709"/>
          <w:tab w:val="left" w:pos="1008" w:leader="none"/>
        </w:tabs>
        <w:spacing w:before="0" w:after="0"/>
        <w:ind w:firstLine="720" w:left="0" w:right="0"/>
        <w:jc w:val="both"/>
        <w:rPr/>
      </w:pPr>
      <w:r>
        <w:rPr>
          <w:color w:val="000000"/>
        </w:rPr>
        <w:t>исполнения предписаний об устранении нарушений обязательных требований, выданных Инспекторами в пределах компетенции.</w:t>
      </w:r>
    </w:p>
    <w:p>
      <w:pPr>
        <w:pStyle w:val="11"/>
        <w:ind w:firstLine="720" w:left="0" w:right="0"/>
        <w:jc w:val="both"/>
        <w:rPr/>
      </w:pPr>
      <w:r>
        <w:rPr>
          <w:color w:val="000000"/>
        </w:rPr>
        <w:t>Полномочия, указанные в настоящем пункте, осуществляются Контрольным органом в отношении всех категорий земель.</w:t>
      </w:r>
    </w:p>
    <w:p>
      <w:pPr>
        <w:pStyle w:val="ListParagraph"/>
        <w:widowControl/>
        <w:tabs>
          <w:tab w:val="clear" w:pos="709"/>
          <w:tab w:val="left" w:pos="1134" w:leader="none"/>
        </w:tabs>
        <w:ind w:firstLine="851" w:left="0"/>
        <w:jc w:val="both"/>
        <w:rPr>
          <w:rFonts w:ascii="Times New Roman" w:hAnsi="Times New Roman"/>
          <w:sz w:val="28"/>
          <w:szCs w:val="28"/>
        </w:rPr>
      </w:pPr>
      <w:r>
        <w:rPr>
          <w:sz w:val="28"/>
          <w:szCs w:val="28"/>
        </w:rPr>
        <w:t xml:space="preserve">1.11. В целях, связанных с осуществлением муниципального контроля, контрольный орган получает на безвозмездной основе документы и (или) сведения от иных органов либо подведомственных таким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
    <w:p>
      <w:pPr>
        <w:pStyle w:val="ListParagraph"/>
        <w:widowControl/>
        <w:tabs>
          <w:tab w:val="clear" w:pos="709"/>
          <w:tab w:val="left" w:pos="1134" w:leader="none"/>
        </w:tabs>
        <w:ind w:firstLine="851" w:left="0"/>
        <w:jc w:val="both"/>
        <w:rPr/>
      </w:pPr>
      <w:r>
        <w:rPr>
          <w:sz w:val="28"/>
          <w:szCs w:val="28"/>
        </w:rPr>
        <w:t xml:space="preserve">1.12. Передача в рамках межведомственного информационного взаимодействия документов и (или) сведений, раскрытие информации, в том числе ознакомление с такими документами и (или) сведениями в случаях, предусмотренных </w:t>
      </w:r>
      <w:hyperlink r:id="rId5" w:tooltip="https://docs.cntd.ru/document/565415215#64U0IK&quot; l &quot;64U0IK">
        <w:r>
          <w:rPr>
            <w:rStyle w:val="Style"/>
            <w:color w:val="auto"/>
            <w:sz w:val="28"/>
            <w:szCs w:val="28"/>
            <w:u w:val="none"/>
          </w:rPr>
          <w:t xml:space="preserve">Федеральным законом </w:t>
        </w:r>
      </w:hyperlink>
      <w:r>
        <w:rPr>
          <w:sz w:val="28"/>
          <w:szCs w:val="28"/>
        </w:rPr>
        <w:t xml:space="preserve">от 31 июля 2020 года № 248-ФЗ, осуществляются с учетом требований законодательства Российской Федерации о государственной и иной охраняемой законом тайне. </w:t>
      </w:r>
    </w:p>
    <w:p>
      <w:pPr>
        <w:pStyle w:val="ListParagraph"/>
        <w:widowControl/>
        <w:tabs>
          <w:tab w:val="clear" w:pos="709"/>
          <w:tab w:val="left" w:pos="1134" w:leader="none"/>
        </w:tabs>
        <w:ind w:firstLine="851" w:left="0"/>
        <w:jc w:val="both"/>
        <w:rPr>
          <w:rFonts w:ascii="Times New Roman" w:hAnsi="Times New Roman"/>
          <w:sz w:val="28"/>
          <w:szCs w:val="28"/>
        </w:rPr>
      </w:pPr>
      <w:r>
        <w:rPr>
          <w:sz w:val="28"/>
          <w:szCs w:val="28"/>
        </w:rPr>
        <w:t>1.13. Муниципальный контроль осуществляется в соответствии с настоящим Положением.</w:t>
      </w:r>
    </w:p>
    <w:p>
      <w:pPr>
        <w:pStyle w:val="ConsPlusNormal"/>
        <w:numPr>
          <w:ilvl w:val="0"/>
          <w:numId w:val="0"/>
        </w:numPr>
        <w:ind w:firstLine="680" w:left="0"/>
        <w:jc w:val="center"/>
        <w:outlineLvl w:val="0"/>
        <w:rPr>
          <w:b/>
          <w:sz w:val="28"/>
          <w:szCs w:val="28"/>
        </w:rPr>
      </w:pPr>
      <w:r>
        <w:rPr>
          <w:b/>
          <w:sz w:val="28"/>
          <w:szCs w:val="28"/>
        </w:rPr>
      </w:r>
    </w:p>
    <w:p>
      <w:pPr>
        <w:pStyle w:val="ConsPlusNormal"/>
        <w:numPr>
          <w:ilvl w:val="0"/>
          <w:numId w:val="0"/>
        </w:numPr>
        <w:ind w:firstLine="680" w:left="0"/>
        <w:jc w:val="center"/>
        <w:outlineLvl w:val="0"/>
        <w:rPr>
          <w:sz w:val="28"/>
          <w:szCs w:val="28"/>
        </w:rPr>
      </w:pPr>
      <w:r>
        <w:rPr>
          <w:b/>
          <w:sz w:val="28"/>
          <w:szCs w:val="28"/>
        </w:rPr>
        <w:t>2. Управление рисками причинения вреда (ущерба) охраняемым</w:t>
      </w:r>
    </w:p>
    <w:p>
      <w:pPr>
        <w:pStyle w:val="ConsPlusNormal"/>
        <w:ind w:firstLine="680"/>
        <w:jc w:val="center"/>
        <w:rPr>
          <w:b/>
          <w:sz w:val="28"/>
          <w:szCs w:val="28"/>
          <w:highlight w:val="none"/>
        </w:rPr>
      </w:pPr>
      <w:r>
        <w:rPr>
          <w:b/>
          <w:sz w:val="28"/>
          <w:szCs w:val="28"/>
        </w:rPr>
        <w:t xml:space="preserve">законом ценностям при осуществлении муниципального контроля </w:t>
      </w:r>
    </w:p>
    <w:p>
      <w:pPr>
        <w:pStyle w:val="ConsPlusNormal"/>
        <w:ind w:firstLine="680"/>
        <w:jc w:val="center"/>
        <w:rPr/>
      </w:pPr>
      <w:r>
        <w:rPr/>
      </w:r>
    </w:p>
    <w:p>
      <w:pPr>
        <w:pStyle w:val="ListParagraph"/>
        <w:widowControl/>
        <w:tabs>
          <w:tab w:val="clear" w:pos="709"/>
          <w:tab w:val="left" w:pos="1134" w:leader="none"/>
        </w:tabs>
        <w:ind w:firstLine="851" w:left="0"/>
        <w:jc w:val="both"/>
        <w:rPr/>
      </w:pPr>
      <w:r>
        <w:rPr>
          <w:sz w:val="28"/>
          <w:szCs w:val="28"/>
        </w:rPr>
        <w:t>2.1. Муниципальный</w:t>
      </w:r>
      <w:r>
        <w:rPr>
          <w:sz w:val="28"/>
          <w:szCs w:val="28"/>
          <w:lang w:eastAsia="en-US"/>
        </w:rPr>
        <w:t xml:space="preserve"> контроль осуществляется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pPr>
        <w:pStyle w:val="ListParagraph"/>
        <w:widowControl/>
        <w:tabs>
          <w:tab w:val="clear" w:pos="709"/>
          <w:tab w:val="left" w:pos="1134" w:leader="none"/>
        </w:tabs>
        <w:ind w:firstLine="851" w:left="0"/>
        <w:jc w:val="both"/>
        <w:rPr/>
      </w:pPr>
      <w:r>
        <w:rPr>
          <w:sz w:val="28"/>
          <w:szCs w:val="28"/>
          <w:lang w:eastAsia="en-US"/>
        </w:rPr>
        <w:t>2.2.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орган применяет перечень индикаторов риска нарушения обязательных требований (приложение № 2 к решению).</w:t>
      </w:r>
    </w:p>
    <w:p>
      <w:pPr>
        <w:pStyle w:val="ListParagraph"/>
        <w:widowControl/>
        <w:tabs>
          <w:tab w:val="clear" w:pos="709"/>
          <w:tab w:val="left" w:pos="1134" w:leader="none"/>
        </w:tabs>
        <w:ind w:firstLine="851" w:left="0"/>
        <w:jc w:val="both"/>
        <w:rPr/>
      </w:pPr>
      <w:r>
        <w:rPr>
          <w:sz w:val="28"/>
          <w:szCs w:val="28"/>
        </w:rPr>
        <w:t>2.3. Контрольный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pPr>
        <w:pStyle w:val="ListParagraph"/>
        <w:widowControl/>
        <w:tabs>
          <w:tab w:val="clear" w:pos="709"/>
          <w:tab w:val="left" w:pos="1134" w:leader="none"/>
        </w:tabs>
        <w:ind w:firstLine="851" w:left="0"/>
        <w:jc w:val="both"/>
        <w:rPr>
          <w:rFonts w:ascii="Times New Roman" w:hAnsi="Times New Roman"/>
          <w:sz w:val="28"/>
          <w:szCs w:val="28"/>
        </w:rPr>
      </w:pPr>
      <w:r>
        <w:rPr>
          <w:sz w:val="28"/>
          <w:szCs w:val="28"/>
        </w:rPr>
        <w:t>1) средний риск;</w:t>
      </w:r>
    </w:p>
    <w:p>
      <w:pPr>
        <w:pStyle w:val="ListParagraph"/>
        <w:widowControl/>
        <w:tabs>
          <w:tab w:val="clear" w:pos="709"/>
          <w:tab w:val="left" w:pos="1134" w:leader="none"/>
        </w:tabs>
        <w:ind w:firstLine="851" w:left="0"/>
        <w:jc w:val="both"/>
        <w:rPr>
          <w:rFonts w:ascii="Times New Roman" w:hAnsi="Times New Roman"/>
          <w:sz w:val="28"/>
          <w:szCs w:val="28"/>
        </w:rPr>
      </w:pPr>
      <w:r>
        <w:rPr>
          <w:sz w:val="28"/>
          <w:szCs w:val="28"/>
        </w:rPr>
        <w:t>2) умеренный риск;</w:t>
      </w:r>
    </w:p>
    <w:p>
      <w:pPr>
        <w:pStyle w:val="ListParagraph"/>
        <w:widowControl/>
        <w:tabs>
          <w:tab w:val="clear" w:pos="709"/>
          <w:tab w:val="left" w:pos="1134" w:leader="none"/>
        </w:tabs>
        <w:ind w:firstLine="851" w:left="0"/>
        <w:jc w:val="both"/>
        <w:rPr>
          <w:rFonts w:ascii="Times New Roman" w:hAnsi="Times New Roman"/>
          <w:sz w:val="28"/>
          <w:szCs w:val="28"/>
        </w:rPr>
      </w:pPr>
      <w:r>
        <w:rPr>
          <w:sz w:val="28"/>
          <w:szCs w:val="28"/>
        </w:rPr>
        <w:t>3) низкий риск.</w:t>
      </w:r>
    </w:p>
    <w:p>
      <w:pPr>
        <w:pStyle w:val="ListParagraph"/>
        <w:widowControl/>
        <w:tabs>
          <w:tab w:val="clear" w:pos="709"/>
          <w:tab w:val="left" w:pos="1134" w:leader="none"/>
        </w:tabs>
        <w:ind w:firstLine="851" w:left="0"/>
        <w:jc w:val="both"/>
        <w:rPr>
          <w:rFonts w:ascii="Times New Roman" w:hAnsi="Times New Roman"/>
          <w:sz w:val="28"/>
          <w:szCs w:val="28"/>
        </w:rPr>
      </w:pPr>
      <w:r>
        <w:rPr>
          <w:sz w:val="28"/>
          <w:szCs w:val="28"/>
        </w:rPr>
        <w:t>2.4. Отнесение Контрольным органом земель и земельных участков к определенной категории риска осуществляется в соответствии с критериями отнесения используемых контролируемыми лицами земель и земельных участков к определенной категории риска согласно настоящему Положению. Объект контроля считается отнесенным к одной из категорий риска после внесения сведений в единый реестр видов контроля.</w:t>
      </w:r>
    </w:p>
    <w:p>
      <w:pPr>
        <w:pStyle w:val="ListParagraph"/>
        <w:widowControl/>
        <w:tabs>
          <w:tab w:val="clear" w:pos="709"/>
          <w:tab w:val="left" w:pos="1134" w:leader="none"/>
        </w:tabs>
        <w:ind w:firstLine="851" w:left="0"/>
        <w:jc w:val="both"/>
        <w:rPr>
          <w:rFonts w:ascii="Times New Roman" w:hAnsi="Times New Roman"/>
          <w:sz w:val="28"/>
          <w:szCs w:val="28"/>
        </w:rPr>
      </w:pPr>
      <w:r>
        <w:rPr>
          <w:sz w:val="28"/>
          <w:szCs w:val="28"/>
        </w:rPr>
        <w:t>2.5. Объекты контроля относятся к следующим категориям риска:</w:t>
      </w:r>
    </w:p>
    <w:p>
      <w:pPr>
        <w:pStyle w:val="ListParagraph"/>
        <w:widowControl/>
        <w:tabs>
          <w:tab w:val="clear" w:pos="709"/>
          <w:tab w:val="left" w:pos="1134" w:leader="none"/>
        </w:tabs>
        <w:ind w:firstLine="851" w:left="0"/>
        <w:jc w:val="both"/>
        <w:rPr>
          <w:rFonts w:ascii="Times New Roman" w:hAnsi="Times New Roman"/>
          <w:sz w:val="28"/>
          <w:szCs w:val="28"/>
        </w:rPr>
      </w:pPr>
      <w:r>
        <w:rPr>
          <w:sz w:val="28"/>
          <w:szCs w:val="28"/>
        </w:rPr>
        <w:t xml:space="preserve">1) к категории среднего риска: </w:t>
      </w:r>
    </w:p>
    <w:p>
      <w:pPr>
        <w:pStyle w:val="ListParagraph"/>
        <w:widowControl/>
        <w:tabs>
          <w:tab w:val="clear" w:pos="709"/>
          <w:tab w:val="left" w:pos="1134" w:leader="none"/>
        </w:tabs>
        <w:ind w:firstLine="851" w:left="0"/>
        <w:jc w:val="both"/>
        <w:rPr>
          <w:rFonts w:ascii="Times New Roman" w:hAnsi="Times New Roman"/>
          <w:sz w:val="28"/>
          <w:szCs w:val="28"/>
        </w:rPr>
      </w:pPr>
      <w:r>
        <w:rPr>
          <w:sz w:val="28"/>
          <w:szCs w:val="28"/>
        </w:rPr>
        <w:t>- земли и земельные участки, граничащие с земельными участками, предназначенными для захоронения и размещения отходов производства и потребления, размещения кладбищ;</w:t>
      </w:r>
    </w:p>
    <w:p>
      <w:pPr>
        <w:pStyle w:val="ListParagraph"/>
        <w:widowControl/>
        <w:tabs>
          <w:tab w:val="clear" w:pos="709"/>
          <w:tab w:val="left" w:pos="1134" w:leader="none"/>
        </w:tabs>
        <w:ind w:firstLine="851" w:left="0"/>
        <w:jc w:val="both"/>
        <w:rPr>
          <w:rFonts w:ascii="Times New Roman" w:hAnsi="Times New Roman"/>
          <w:sz w:val="28"/>
          <w:szCs w:val="28"/>
        </w:rPr>
      </w:pPr>
      <w:r>
        <w:rPr>
          <w:sz w:val="28"/>
          <w:szCs w:val="28"/>
        </w:rPr>
        <w:t>- земли и земельные участки, расположенные в границах или примыкающие к границе береговой полосы водных объектов общего пользования;</w:t>
      </w:r>
    </w:p>
    <w:p>
      <w:pPr>
        <w:pStyle w:val="ListParagraph"/>
        <w:widowControl/>
        <w:tabs>
          <w:tab w:val="clear" w:pos="709"/>
          <w:tab w:val="left" w:pos="1134" w:leader="none"/>
        </w:tabs>
        <w:ind w:firstLine="851" w:left="0"/>
        <w:jc w:val="both"/>
        <w:rPr>
          <w:rFonts w:ascii="Times New Roman" w:hAnsi="Times New Roman"/>
          <w:sz w:val="28"/>
          <w:szCs w:val="28"/>
        </w:rPr>
      </w:pPr>
      <w:r>
        <w:rPr>
          <w:sz w:val="28"/>
          <w:szCs w:val="28"/>
        </w:rPr>
        <w:t>- земельные участки, предназначенные для гаражного и (или) жилищного строительства, ведения личного подсобного хозяйства (приусадебные земельные участки).</w:t>
      </w:r>
    </w:p>
    <w:p>
      <w:pPr>
        <w:pStyle w:val="ListParagraph"/>
        <w:widowControl/>
        <w:tabs>
          <w:tab w:val="clear" w:pos="709"/>
          <w:tab w:val="left" w:pos="1134" w:leader="none"/>
        </w:tabs>
        <w:ind w:firstLine="851" w:left="0"/>
        <w:jc w:val="both"/>
        <w:rPr>
          <w:rFonts w:ascii="Times New Roman" w:hAnsi="Times New Roman"/>
          <w:sz w:val="28"/>
          <w:szCs w:val="28"/>
        </w:rPr>
      </w:pPr>
      <w:r>
        <w:rPr>
          <w:sz w:val="28"/>
          <w:szCs w:val="28"/>
        </w:rPr>
        <w:t>2) к категории умеренного риска относятся земельные участки со следующими видами разрешенного использования:</w:t>
      </w:r>
    </w:p>
    <w:p>
      <w:pPr>
        <w:pStyle w:val="11"/>
        <w:tabs>
          <w:tab w:val="clear" w:pos="709"/>
          <w:tab w:val="left" w:pos="1318" w:leader="none"/>
        </w:tabs>
        <w:ind w:hanging="0" w:left="720" w:right="0"/>
        <w:jc w:val="both"/>
        <w:rPr/>
      </w:pPr>
      <w:r>
        <w:rPr>
          <w:color w:val="000000"/>
        </w:rPr>
        <w:t>- сельскохозяйственное использование (код 1.0);</w:t>
      </w:r>
    </w:p>
    <w:p>
      <w:pPr>
        <w:pStyle w:val="11"/>
        <w:tabs>
          <w:tab w:val="clear" w:pos="709"/>
          <w:tab w:val="left" w:pos="1318" w:leader="none"/>
        </w:tabs>
        <w:ind w:hanging="0" w:left="720" w:right="0"/>
        <w:jc w:val="both"/>
        <w:rPr/>
      </w:pPr>
      <w:r>
        <w:rPr>
          <w:color w:val="000000"/>
        </w:rPr>
        <w:t>- бытовое обслуживание (код 3.3);</w:t>
      </w:r>
    </w:p>
    <w:p>
      <w:pPr>
        <w:pStyle w:val="11"/>
        <w:tabs>
          <w:tab w:val="clear" w:pos="709"/>
          <w:tab w:val="left" w:pos="1318" w:leader="none"/>
        </w:tabs>
        <w:ind w:hanging="0" w:left="720" w:right="0"/>
        <w:jc w:val="both"/>
        <w:rPr/>
      </w:pPr>
      <w:r>
        <w:rPr>
          <w:color w:val="000000"/>
        </w:rPr>
        <w:t>- предпринимательство (код 4.0);</w:t>
      </w:r>
    </w:p>
    <w:p>
      <w:pPr>
        <w:pStyle w:val="11"/>
        <w:tabs>
          <w:tab w:val="clear" w:pos="709"/>
          <w:tab w:val="left" w:pos="1318" w:leader="none"/>
        </w:tabs>
        <w:ind w:hanging="0" w:left="720" w:right="0"/>
        <w:jc w:val="both"/>
        <w:rPr/>
      </w:pPr>
      <w:r>
        <w:rPr>
          <w:color w:val="000000"/>
        </w:rPr>
        <w:t>- отдых (рекреация) (код 5.0);</w:t>
      </w:r>
    </w:p>
    <w:p>
      <w:pPr>
        <w:pStyle w:val="11"/>
        <w:tabs>
          <w:tab w:val="clear" w:pos="709"/>
          <w:tab w:val="left" w:pos="1318" w:leader="none"/>
        </w:tabs>
        <w:ind w:hanging="0" w:left="720" w:right="0"/>
        <w:jc w:val="both"/>
        <w:rPr/>
      </w:pPr>
      <w:r>
        <w:rPr>
          <w:color w:val="000000"/>
        </w:rPr>
        <w:t>- производственная деятельность (код 6.0);</w:t>
      </w:r>
    </w:p>
    <w:p>
      <w:pPr>
        <w:pStyle w:val="11"/>
        <w:tabs>
          <w:tab w:val="clear" w:pos="709"/>
          <w:tab w:val="left" w:pos="1318" w:leader="none"/>
        </w:tabs>
        <w:ind w:hanging="0" w:left="720" w:right="0"/>
        <w:jc w:val="both"/>
        <w:rPr/>
      </w:pPr>
      <w:r>
        <w:rPr>
          <w:color w:val="000000"/>
        </w:rPr>
        <w:t>- недропользование (код 6.1);</w:t>
      </w:r>
    </w:p>
    <w:p>
      <w:pPr>
        <w:pStyle w:val="11"/>
        <w:tabs>
          <w:tab w:val="clear" w:pos="709"/>
          <w:tab w:val="left" w:pos="1318" w:leader="none"/>
        </w:tabs>
        <w:ind w:hanging="0" w:left="720" w:right="0"/>
        <w:jc w:val="both"/>
        <w:rPr/>
      </w:pPr>
      <w:r>
        <w:rPr>
          <w:color w:val="000000"/>
        </w:rPr>
        <w:t>- тяжелая промышленность (код 6.2);</w:t>
      </w:r>
    </w:p>
    <w:p>
      <w:pPr>
        <w:pStyle w:val="11"/>
        <w:tabs>
          <w:tab w:val="clear" w:pos="709"/>
          <w:tab w:val="left" w:pos="1318" w:leader="none"/>
        </w:tabs>
        <w:ind w:hanging="0" w:left="720" w:right="0"/>
        <w:jc w:val="both"/>
        <w:rPr/>
      </w:pPr>
      <w:r>
        <w:rPr>
          <w:color w:val="000000"/>
        </w:rPr>
        <w:t>- легкая промышленность (код 6.3);</w:t>
      </w:r>
    </w:p>
    <w:p>
      <w:pPr>
        <w:pStyle w:val="11"/>
        <w:tabs>
          <w:tab w:val="clear" w:pos="709"/>
          <w:tab w:val="left" w:pos="1318" w:leader="none"/>
        </w:tabs>
        <w:ind w:hanging="0" w:left="720" w:right="0"/>
        <w:jc w:val="both"/>
        <w:rPr/>
      </w:pPr>
      <w:r>
        <w:rPr>
          <w:color w:val="000000"/>
        </w:rPr>
        <w:t>- фармацевтическая промышленность (код 6.3.1);</w:t>
      </w:r>
    </w:p>
    <w:p>
      <w:pPr>
        <w:pStyle w:val="11"/>
        <w:tabs>
          <w:tab w:val="clear" w:pos="709"/>
          <w:tab w:val="left" w:pos="1458" w:leader="none"/>
        </w:tabs>
        <w:ind w:hanging="0" w:left="720" w:right="0"/>
        <w:jc w:val="both"/>
        <w:rPr/>
      </w:pPr>
      <w:r>
        <w:rPr>
          <w:color w:val="000000"/>
        </w:rPr>
        <w:t>- пищевая промышленность (код 6.4);</w:t>
      </w:r>
    </w:p>
    <w:p>
      <w:pPr>
        <w:pStyle w:val="11"/>
        <w:tabs>
          <w:tab w:val="clear" w:pos="709"/>
          <w:tab w:val="left" w:pos="1458" w:leader="none"/>
        </w:tabs>
        <w:ind w:hanging="0" w:left="720" w:right="0"/>
        <w:jc w:val="both"/>
        <w:rPr/>
      </w:pPr>
      <w:r>
        <w:rPr>
          <w:color w:val="000000"/>
        </w:rPr>
        <w:t>- нефтехимическая промышленность (код 6.5);</w:t>
      </w:r>
    </w:p>
    <w:p>
      <w:pPr>
        <w:pStyle w:val="11"/>
        <w:tabs>
          <w:tab w:val="clear" w:pos="709"/>
          <w:tab w:val="left" w:pos="1458" w:leader="none"/>
        </w:tabs>
        <w:ind w:hanging="0" w:left="720" w:right="0"/>
        <w:jc w:val="both"/>
        <w:rPr/>
      </w:pPr>
      <w:r>
        <w:rPr>
          <w:color w:val="000000"/>
        </w:rPr>
        <w:t>- строительная промышленность (код 6.6);</w:t>
      </w:r>
    </w:p>
    <w:p>
      <w:pPr>
        <w:pStyle w:val="11"/>
        <w:tabs>
          <w:tab w:val="clear" w:pos="709"/>
          <w:tab w:val="left" w:pos="1458" w:leader="none"/>
        </w:tabs>
        <w:ind w:hanging="0" w:left="720" w:right="0"/>
        <w:jc w:val="both"/>
        <w:rPr/>
      </w:pPr>
      <w:r>
        <w:rPr>
          <w:color w:val="000000"/>
        </w:rPr>
        <w:t>- энергетика (код 6.7);</w:t>
      </w:r>
    </w:p>
    <w:p>
      <w:pPr>
        <w:pStyle w:val="11"/>
        <w:tabs>
          <w:tab w:val="clear" w:pos="709"/>
          <w:tab w:val="left" w:pos="1458" w:leader="none"/>
        </w:tabs>
        <w:ind w:hanging="0" w:left="720" w:right="0"/>
        <w:jc w:val="both"/>
        <w:rPr/>
      </w:pPr>
      <w:r>
        <w:rPr>
          <w:color w:val="000000"/>
        </w:rPr>
        <w:t>- склады (код 6.9);</w:t>
      </w:r>
    </w:p>
    <w:p>
      <w:pPr>
        <w:pStyle w:val="11"/>
        <w:tabs>
          <w:tab w:val="clear" w:pos="709"/>
          <w:tab w:val="left" w:pos="1458" w:leader="none"/>
        </w:tabs>
        <w:ind w:hanging="0" w:left="720" w:right="0"/>
        <w:jc w:val="both"/>
        <w:rPr/>
      </w:pPr>
      <w:r>
        <w:rPr>
          <w:color w:val="000000"/>
        </w:rPr>
        <w:t>- складские площадки (код 6.9.1);</w:t>
      </w:r>
    </w:p>
    <w:p>
      <w:pPr>
        <w:pStyle w:val="11"/>
        <w:tabs>
          <w:tab w:val="clear" w:pos="709"/>
          <w:tab w:val="left" w:pos="1458" w:leader="none"/>
        </w:tabs>
        <w:ind w:hanging="0" w:left="720" w:right="0"/>
        <w:jc w:val="both"/>
        <w:rPr/>
      </w:pPr>
      <w:r>
        <w:rPr>
          <w:color w:val="000000"/>
        </w:rPr>
        <w:t>- целлюлозно-бумажная промышленность (код 6.11);</w:t>
      </w:r>
    </w:p>
    <w:p>
      <w:pPr>
        <w:pStyle w:val="11"/>
        <w:tabs>
          <w:tab w:val="clear" w:pos="709"/>
          <w:tab w:val="left" w:pos="1458" w:leader="none"/>
        </w:tabs>
        <w:ind w:hanging="0" w:left="720" w:right="0"/>
        <w:jc w:val="both"/>
        <w:rPr/>
      </w:pPr>
      <w:r>
        <w:rPr>
          <w:color w:val="000000"/>
        </w:rPr>
        <w:t>- транспорт (код 7.0);</w:t>
      </w:r>
    </w:p>
    <w:p>
      <w:pPr>
        <w:pStyle w:val="11"/>
        <w:tabs>
          <w:tab w:val="clear" w:pos="709"/>
          <w:tab w:val="left" w:pos="1458" w:leader="none"/>
        </w:tabs>
        <w:ind w:hanging="0" w:left="720" w:right="0"/>
        <w:jc w:val="both"/>
        <w:rPr/>
      </w:pPr>
      <w:r>
        <w:rPr>
          <w:color w:val="000000"/>
        </w:rPr>
        <w:t>- земельные участки (территории) общего пользования (код 12.0);</w:t>
      </w:r>
    </w:p>
    <w:p>
      <w:pPr>
        <w:pStyle w:val="11"/>
        <w:tabs>
          <w:tab w:val="clear" w:pos="709"/>
          <w:tab w:val="left" w:pos="1458" w:leader="none"/>
        </w:tabs>
        <w:ind w:hanging="0" w:left="720" w:right="0"/>
        <w:jc w:val="both"/>
        <w:rPr/>
      </w:pPr>
      <w:r>
        <w:rPr>
          <w:color w:val="000000"/>
        </w:rPr>
        <w:t>- ведение садоводства (код 13.2);</w:t>
      </w:r>
    </w:p>
    <w:p>
      <w:pPr>
        <w:pStyle w:val="11"/>
        <w:tabs>
          <w:tab w:val="clear" w:pos="709"/>
          <w:tab w:val="left" w:pos="1458" w:leader="none"/>
        </w:tabs>
        <w:ind w:hanging="0" w:left="720" w:right="0"/>
        <w:jc w:val="both"/>
        <w:rPr/>
      </w:pPr>
      <w:r>
        <w:rPr>
          <w:color w:val="000000"/>
        </w:rPr>
        <w:t>- ведение огородничества (код 13.1);</w:t>
      </w:r>
    </w:p>
    <w:p>
      <w:pPr>
        <w:pStyle w:val="11"/>
        <w:suppressLineNumbers w:val="0"/>
        <w:tabs>
          <w:tab w:val="clear" w:pos="709"/>
          <w:tab w:val="left" w:pos="1443" w:leader="none"/>
        </w:tabs>
        <w:ind w:hanging="0" w:left="0" w:right="0"/>
        <w:jc w:val="both"/>
        <w:rPr/>
      </w:pPr>
      <w:r>
        <w:rPr>
          <w:color w:val="000000"/>
        </w:rPr>
        <w:t>Граничащие с земельными участками с видами разрешенного использования:</w:t>
      </w:r>
    </w:p>
    <w:p>
      <w:pPr>
        <w:pStyle w:val="11"/>
        <w:ind w:firstLine="720" w:left="0" w:right="0"/>
        <w:jc w:val="both"/>
        <w:rPr/>
      </w:pPr>
      <w:r>
        <w:rPr>
          <w:color w:val="000000"/>
        </w:rPr>
        <w:t>- сельскохозяйственное использование (код 1.0);</w:t>
      </w:r>
    </w:p>
    <w:p>
      <w:pPr>
        <w:pStyle w:val="11"/>
        <w:ind w:firstLine="720" w:left="0" w:right="0"/>
        <w:jc w:val="both"/>
        <w:rPr/>
      </w:pPr>
      <w:r>
        <w:rPr>
          <w:color w:val="000000"/>
        </w:rPr>
        <w:t>- питомники (код 1.17);</w:t>
      </w:r>
    </w:p>
    <w:p>
      <w:pPr>
        <w:pStyle w:val="11"/>
        <w:ind w:firstLine="720" w:left="0" w:right="0"/>
        <w:rPr/>
      </w:pPr>
      <w:r>
        <w:rPr>
          <w:color w:val="000000"/>
        </w:rPr>
        <w:t>- природно-познавательный туризм (код 5.2);</w:t>
      </w:r>
    </w:p>
    <w:p>
      <w:pPr>
        <w:pStyle w:val="11"/>
        <w:ind w:firstLine="720" w:left="0" w:right="0"/>
        <w:rPr/>
      </w:pPr>
      <w:r>
        <w:rPr>
          <w:color w:val="000000"/>
        </w:rPr>
        <w:t>- деятельность по особой охране и изучению природы (код 9.0);</w:t>
      </w:r>
    </w:p>
    <w:p>
      <w:pPr>
        <w:pStyle w:val="11"/>
        <w:ind w:firstLine="720" w:left="0" w:right="0"/>
        <w:rPr/>
      </w:pPr>
      <w:r>
        <w:rPr>
          <w:color w:val="000000"/>
        </w:rPr>
        <w:t>- охрана природных территорий (код 9.1);</w:t>
      </w:r>
    </w:p>
    <w:p>
      <w:pPr>
        <w:pStyle w:val="11"/>
        <w:ind w:firstLine="720" w:left="0" w:right="0"/>
        <w:rPr/>
      </w:pPr>
      <w:r>
        <w:rPr>
          <w:color w:val="000000"/>
        </w:rPr>
        <w:t>- курортная деятельность (код 9.2);</w:t>
      </w:r>
    </w:p>
    <w:p>
      <w:pPr>
        <w:pStyle w:val="11"/>
        <w:ind w:firstLine="720" w:left="0" w:right="0"/>
        <w:rPr/>
      </w:pPr>
      <w:r>
        <w:rPr>
          <w:color w:val="000000"/>
        </w:rPr>
        <w:t>- санаторная деятельность (код 9.2.1);</w:t>
      </w:r>
    </w:p>
    <w:p>
      <w:pPr>
        <w:pStyle w:val="11"/>
        <w:ind w:firstLine="720" w:left="0" w:right="0"/>
        <w:rPr/>
      </w:pPr>
      <w:r>
        <w:rPr>
          <w:color w:val="000000"/>
        </w:rPr>
        <w:t>- резервные леса (код 10.4);</w:t>
      </w:r>
    </w:p>
    <w:p>
      <w:pPr>
        <w:pStyle w:val="11"/>
        <w:ind w:firstLine="720" w:left="0" w:right="0"/>
        <w:rPr/>
      </w:pPr>
      <w:r>
        <w:rPr>
          <w:color w:val="000000"/>
        </w:rPr>
        <w:t>- общее пользование водными объектами (код 11.1);</w:t>
      </w:r>
    </w:p>
    <w:p>
      <w:pPr>
        <w:pStyle w:val="11"/>
        <w:ind w:firstLine="720" w:left="0" w:right="0"/>
        <w:rPr/>
      </w:pPr>
      <w:r>
        <w:rPr>
          <w:color w:val="000000"/>
        </w:rPr>
        <w:t>- гидротехнические сооружения (код 11.3);</w:t>
      </w:r>
    </w:p>
    <w:p>
      <w:pPr>
        <w:pStyle w:val="11"/>
        <w:ind w:firstLine="720" w:left="0" w:right="0"/>
        <w:rPr/>
      </w:pPr>
      <w:r>
        <w:rPr>
          <w:color w:val="000000"/>
        </w:rPr>
        <w:t>- ведение огородничества (код 13.1);</w:t>
      </w:r>
    </w:p>
    <w:p>
      <w:pPr>
        <w:pStyle w:val="11"/>
        <w:ind w:firstLine="720" w:left="0" w:right="0"/>
        <w:rPr/>
      </w:pPr>
      <w:r>
        <w:rPr>
          <w:color w:val="000000"/>
        </w:rPr>
        <w:t>- ведение садоводства (код 13.2).</w:t>
      </w:r>
    </w:p>
    <w:p>
      <w:pPr>
        <w:pStyle w:val="ListParagraph"/>
        <w:widowControl/>
        <w:tabs>
          <w:tab w:val="clear" w:pos="709"/>
          <w:tab w:val="left" w:pos="1134" w:leader="none"/>
        </w:tabs>
        <w:ind w:firstLine="851" w:left="0"/>
        <w:jc w:val="both"/>
        <w:rPr>
          <w:rFonts w:ascii="Times New Roman" w:hAnsi="Times New Roman"/>
          <w:sz w:val="28"/>
          <w:szCs w:val="28"/>
        </w:rPr>
      </w:pPr>
      <w:r>
        <w:rPr>
          <w:sz w:val="28"/>
          <w:szCs w:val="28"/>
        </w:rPr>
        <w:t>3) к категории низкого риска относятся все иные земельные участки, не отнесенные к категориям среднего или умеренного риска.</w:t>
      </w:r>
    </w:p>
    <w:p>
      <w:pPr>
        <w:pStyle w:val="ListParagraph"/>
        <w:widowControl/>
        <w:tabs>
          <w:tab w:val="clear" w:pos="709"/>
          <w:tab w:val="left" w:pos="1134" w:leader="none"/>
        </w:tabs>
        <w:ind w:firstLine="851" w:left="0"/>
        <w:jc w:val="both"/>
        <w:rPr>
          <w:rFonts w:ascii="Times New Roman" w:hAnsi="Times New Roman"/>
          <w:sz w:val="28"/>
          <w:szCs w:val="28"/>
        </w:rPr>
      </w:pPr>
      <w:r>
        <w:rPr>
          <w:sz w:val="28"/>
          <w:szCs w:val="28"/>
        </w:rPr>
        <w:t>2.6. Контрольный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pPr>
        <w:pStyle w:val="ListParagraph"/>
        <w:ind w:firstLine="709" w:left="0"/>
        <w:jc w:val="both"/>
        <w:rPr>
          <w:rFonts w:ascii="Times New Roman" w:hAnsi="Times New Roman"/>
          <w:sz w:val="28"/>
          <w:szCs w:val="28"/>
        </w:rPr>
      </w:pPr>
      <w:r>
        <w:rPr>
          <w:sz w:val="28"/>
          <w:szCs w:val="28"/>
        </w:rPr>
        <w:t>Контрольный орган осуществляет категорирование объектов контроля в порядке, определенном статьей 24 Федерального закона                                         от 31 июля 2020 года № 248-ФЗ . Решение об отнесении объектов контроля к категориям риска принимаются путем подписания соответствующих сведений через личный кабинет уполномоченных должностных лиц в Едином реестре видов контроля.</w:t>
      </w:r>
    </w:p>
    <w:p>
      <w:pPr>
        <w:pStyle w:val="ListParagraph"/>
        <w:ind w:firstLine="709" w:left="0"/>
        <w:jc w:val="both"/>
        <w:rPr>
          <w:rFonts w:ascii="Times New Roman" w:hAnsi="Times New Roman"/>
          <w:sz w:val="28"/>
          <w:szCs w:val="28"/>
        </w:rPr>
      </w:pPr>
      <w:r>
        <w:rPr>
          <w:sz w:val="28"/>
          <w:szCs w:val="28"/>
        </w:rPr>
        <w:t>2.7. Проведение Контрольным органом плановых контрольных мероприятий в отношении земель и земельных участков в зависимости от присвоенной категории риска осуществляется со следующей периодичностью:</w:t>
      </w:r>
    </w:p>
    <w:p>
      <w:pPr>
        <w:pStyle w:val="11"/>
        <w:ind w:firstLine="720" w:left="0" w:right="0"/>
        <w:jc w:val="both"/>
        <w:rPr/>
      </w:pPr>
      <w:r>
        <w:rPr>
          <w:color w:val="000000"/>
        </w:rPr>
        <w:t>- для земель и земельных участков, отнесенных к категории среднего риска, - один раз в 3 года;</w:t>
      </w:r>
    </w:p>
    <w:p>
      <w:pPr>
        <w:pStyle w:val="11"/>
        <w:ind w:firstLine="720" w:left="0" w:right="0"/>
        <w:jc w:val="both"/>
        <w:rPr/>
      </w:pPr>
      <w:r>
        <w:rPr>
          <w:color w:val="000000"/>
        </w:rPr>
        <w:t>- для земель и земельных участков, отнесенных к категории умеренного риска, - один раз в 6 лет.</w:t>
      </w:r>
    </w:p>
    <w:p>
      <w:pPr>
        <w:pStyle w:val="ListParagraph"/>
        <w:ind w:firstLine="709" w:left="0"/>
        <w:jc w:val="both"/>
        <w:rPr>
          <w:rFonts w:ascii="Times New Roman" w:hAnsi="Times New Roman"/>
          <w:sz w:val="28"/>
          <w:szCs w:val="28"/>
        </w:rPr>
      </w:pPr>
      <w:r>
        <w:rPr>
          <w:sz w:val="28"/>
          <w:szCs w:val="28"/>
        </w:rPr>
        <w:t>2.8. В отношении земель и земельных участков, отнесенных к категории низкого риска, плановые контрольные мероприятия не проводятся.</w:t>
      </w:r>
    </w:p>
    <w:p>
      <w:pPr>
        <w:pStyle w:val="ListParagraph"/>
        <w:ind w:firstLine="709" w:left="0"/>
        <w:jc w:val="both"/>
        <w:rPr>
          <w:rFonts w:ascii="Times New Roman" w:hAnsi="Times New Roman"/>
          <w:sz w:val="28"/>
          <w:szCs w:val="28"/>
        </w:rPr>
      </w:pPr>
      <w:r>
        <w:rPr>
          <w:sz w:val="28"/>
          <w:szCs w:val="28"/>
        </w:rPr>
        <w:t>2.9. В ежегодные планы плановых контрольных мероприятий подлежат включению контрольные мероприятия в отношении объектов земельных отношений, принадлежащих на праве собственности, праве (постоянного) бессрочного пользования или ином праве, а также используемых на праве аренды гражданами и юридическими лицами, для которых в году реализации ежегодного плана истекает период времени с даты окончания проведения последнего планового контрольного мероприятия, для объектов земельных отношений, отнесенных к категории:</w:t>
      </w:r>
    </w:p>
    <w:p>
      <w:pPr>
        <w:pStyle w:val="ListParagraph"/>
        <w:ind w:firstLine="709" w:left="0"/>
        <w:jc w:val="both"/>
        <w:rPr>
          <w:rFonts w:ascii="Times New Roman" w:hAnsi="Times New Roman"/>
          <w:sz w:val="28"/>
          <w:szCs w:val="28"/>
        </w:rPr>
      </w:pPr>
      <w:r>
        <w:rPr>
          <w:sz w:val="28"/>
          <w:szCs w:val="28"/>
        </w:rPr>
        <w:t>- среднего риска - не менее 3 лет;</w:t>
      </w:r>
    </w:p>
    <w:p>
      <w:pPr>
        <w:pStyle w:val="ListParagraph"/>
        <w:ind w:firstLine="709" w:left="0"/>
        <w:jc w:val="both"/>
        <w:rPr>
          <w:rFonts w:ascii="Times New Roman" w:hAnsi="Times New Roman"/>
          <w:sz w:val="28"/>
          <w:szCs w:val="28"/>
        </w:rPr>
      </w:pPr>
      <w:r>
        <w:rPr>
          <w:sz w:val="28"/>
          <w:szCs w:val="28"/>
        </w:rPr>
        <w:t>- умеренного риска - не менее 6 лет.</w:t>
      </w:r>
    </w:p>
    <w:p>
      <w:pPr>
        <w:pStyle w:val="ListParagraph"/>
        <w:ind w:firstLine="709" w:left="0"/>
        <w:jc w:val="both"/>
        <w:rPr>
          <w:rFonts w:ascii="Times New Roman" w:hAnsi="Times New Roman"/>
          <w:sz w:val="28"/>
          <w:szCs w:val="28"/>
        </w:rPr>
      </w:pPr>
      <w:r>
        <w:rPr>
          <w:sz w:val="28"/>
          <w:szCs w:val="28"/>
        </w:rPr>
        <w:t>2.10. В случае если ранее плановые контрольные мероприятия в отношении земельных участков не проводились, в ежегодный план подлежат включению земельные участки после истечения одного года с даты возникновения у юридического лица или гражданина права собственности, права постоянного (бессрочного) пользования или иного права на такой земельный участок.</w:t>
      </w:r>
    </w:p>
    <w:p>
      <w:pPr>
        <w:pStyle w:val="ListParagraph"/>
        <w:ind w:left="0"/>
        <w:jc w:val="both"/>
        <w:rPr>
          <w:rFonts w:ascii="Times New Roman" w:hAnsi="Times New Roman"/>
          <w:sz w:val="28"/>
          <w:szCs w:val="28"/>
        </w:rPr>
      </w:pPr>
      <w:r>
        <w:rPr>
          <w:sz w:val="28"/>
          <w:szCs w:val="28"/>
        </w:rPr>
      </w:r>
    </w:p>
    <w:p>
      <w:pPr>
        <w:pStyle w:val="ListParagraph"/>
        <w:ind w:left="0"/>
        <w:jc w:val="center"/>
        <w:rPr>
          <w:rFonts w:ascii="Times New Roman" w:hAnsi="Times New Roman"/>
          <w:b/>
          <w:sz w:val="28"/>
          <w:szCs w:val="28"/>
        </w:rPr>
      </w:pPr>
      <w:r>
        <w:rPr>
          <w:b/>
          <w:sz w:val="28"/>
          <w:szCs w:val="28"/>
        </w:rPr>
        <w:t>3. Профилактика рисков причинения вреда (ущерба) охраняемым законом ценностям при осуществлении муниципального контроля</w:t>
      </w:r>
    </w:p>
    <w:p>
      <w:pPr>
        <w:pStyle w:val="ListParagraph"/>
        <w:ind w:firstLine="709" w:left="0"/>
        <w:jc w:val="both"/>
        <w:rPr>
          <w:rFonts w:ascii="Times New Roman" w:hAnsi="Times New Roman"/>
          <w:sz w:val="28"/>
          <w:szCs w:val="28"/>
        </w:rPr>
      </w:pPr>
      <w:r>
        <w:rPr>
          <w:sz w:val="28"/>
          <w:szCs w:val="28"/>
        </w:rPr>
      </w:r>
    </w:p>
    <w:p>
      <w:pPr>
        <w:pStyle w:val="ListParagraph"/>
        <w:ind w:firstLine="709" w:left="0"/>
        <w:jc w:val="both"/>
        <w:rPr>
          <w:rFonts w:ascii="Times New Roman" w:hAnsi="Times New Roman"/>
          <w:sz w:val="28"/>
          <w:szCs w:val="28"/>
          <w:highlight w:val="none"/>
        </w:rPr>
      </w:pPr>
      <w:r>
        <w:rPr>
          <w:sz w:val="28"/>
          <w:szCs w:val="28"/>
        </w:rPr>
        <w:t>3.1. Профилактические мероприятия осуществляются Контрольным органом в целях стимулирования добросовестного соблюдения обязательных требований всеми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создания условий для доведения обязательных требований до контролируемых лиц, повышения информированности о способах их соблюдения.</w:t>
      </w:r>
    </w:p>
    <w:p>
      <w:pPr>
        <w:pStyle w:val="ListParagraph"/>
        <w:ind w:firstLine="709" w:left="0"/>
        <w:jc w:val="both"/>
        <w:rPr>
          <w:rFonts w:ascii="Times New Roman" w:hAnsi="Times New Roman"/>
          <w:sz w:val="28"/>
          <w:szCs w:val="28"/>
        </w:rPr>
      </w:pPr>
      <w:r>
        <w:rPr>
          <w:sz w:val="28"/>
          <w:szCs w:val="28"/>
        </w:rPr>
        <w:t>3.2. Профилактические мероприятия осуществляются в соответствии с ежегодно утверждаемой в порядке, установленном Правительством Российской Федерации, программой профилактики рисков причинения вреда (ущерба) охраняемым законом ценностям (далее - программа профилактики рисков причинения вреда (ущерба). Утвержденная программа профилактики рисков причинения вреда (ущерба) размещается на официальном сайте органов местного самоуправления Ровеньского муниципального округа Белгородской области в сети «Интернет», а так же в едином реестре видов федерального государственного контроля (надзора), регионального государственного контроля (надзора), муниципального контроля (далее - единый реестр видов контроля).</w:t>
      </w:r>
    </w:p>
    <w:p>
      <w:pPr>
        <w:pStyle w:val="ListParagraph"/>
        <w:ind w:firstLine="709" w:left="0"/>
        <w:jc w:val="both"/>
        <w:rPr>
          <w:rFonts w:ascii="Times New Roman" w:hAnsi="Times New Roman"/>
          <w:sz w:val="28"/>
          <w:szCs w:val="28"/>
        </w:rPr>
      </w:pPr>
      <w:r>
        <w:rPr>
          <w:sz w:val="28"/>
          <w:szCs w:val="28"/>
        </w:rPr>
        <w:t>3.3. Контрольным органом при осуществлении муниципального земельного контроля могут проводиться следующие виды профилактических мероприятий:</w:t>
      </w:r>
    </w:p>
    <w:p>
      <w:pPr>
        <w:pStyle w:val="ListParagraph"/>
        <w:ind w:firstLine="709" w:left="0"/>
        <w:jc w:val="both"/>
        <w:rPr>
          <w:rFonts w:ascii="Times New Roman" w:hAnsi="Times New Roman"/>
          <w:sz w:val="28"/>
          <w:szCs w:val="28"/>
        </w:rPr>
      </w:pPr>
      <w:r>
        <w:rPr>
          <w:sz w:val="28"/>
          <w:szCs w:val="28"/>
        </w:rPr>
        <w:t>- информирование;</w:t>
      </w:r>
    </w:p>
    <w:p>
      <w:pPr>
        <w:pStyle w:val="ListParagraph"/>
        <w:ind w:firstLine="709" w:left="0"/>
        <w:jc w:val="both"/>
        <w:rPr>
          <w:rFonts w:ascii="Times New Roman" w:hAnsi="Times New Roman"/>
          <w:sz w:val="28"/>
          <w:szCs w:val="28"/>
        </w:rPr>
      </w:pPr>
      <w:r>
        <w:rPr>
          <w:sz w:val="28"/>
          <w:szCs w:val="28"/>
        </w:rPr>
        <w:t>- объявление предостережения;</w:t>
      </w:r>
    </w:p>
    <w:p>
      <w:pPr>
        <w:pStyle w:val="ListParagraph"/>
        <w:ind w:firstLine="709" w:left="0"/>
        <w:jc w:val="both"/>
        <w:rPr>
          <w:rFonts w:ascii="Times New Roman" w:hAnsi="Times New Roman"/>
          <w:sz w:val="28"/>
          <w:szCs w:val="28"/>
        </w:rPr>
      </w:pPr>
      <w:r>
        <w:rPr>
          <w:sz w:val="28"/>
          <w:szCs w:val="28"/>
        </w:rPr>
        <w:t>- обобщение правоприменительной практики;</w:t>
      </w:r>
    </w:p>
    <w:p>
      <w:pPr>
        <w:pStyle w:val="ListParagraph"/>
        <w:ind w:firstLine="709" w:left="0"/>
        <w:jc w:val="both"/>
        <w:rPr>
          <w:rFonts w:ascii="Times New Roman" w:hAnsi="Times New Roman"/>
          <w:sz w:val="28"/>
          <w:szCs w:val="28"/>
        </w:rPr>
      </w:pPr>
      <w:r>
        <w:rPr>
          <w:sz w:val="28"/>
          <w:szCs w:val="28"/>
        </w:rPr>
        <w:t>- консультирование;</w:t>
      </w:r>
    </w:p>
    <w:p>
      <w:pPr>
        <w:pStyle w:val="ListParagraph"/>
        <w:ind w:firstLine="709" w:left="0"/>
        <w:jc w:val="both"/>
        <w:rPr>
          <w:rFonts w:ascii="Times New Roman" w:hAnsi="Times New Roman"/>
          <w:sz w:val="28"/>
          <w:szCs w:val="28"/>
        </w:rPr>
      </w:pPr>
      <w:r>
        <w:rPr>
          <w:sz w:val="28"/>
          <w:szCs w:val="28"/>
        </w:rPr>
        <w:t>- профилактический визит.</w:t>
      </w:r>
    </w:p>
    <w:p>
      <w:pPr>
        <w:pStyle w:val="ListParagraph"/>
        <w:ind w:firstLine="709" w:left="0"/>
        <w:jc w:val="both"/>
        <w:rPr>
          <w:rFonts w:ascii="Times New Roman" w:hAnsi="Times New Roman"/>
          <w:sz w:val="28"/>
          <w:szCs w:val="28"/>
        </w:rPr>
      </w:pPr>
      <w:r>
        <w:rPr>
          <w:sz w:val="28"/>
          <w:szCs w:val="28"/>
        </w:rPr>
        <w:t>3.4. Информирование осуществляется посредством размещения сведений, предусмотренных</w:t>
      </w:r>
      <w:hyperlink r:id="rId6" w:tooltip="https://login.consultant.ru/link/?req=doc&amp;base=LAW&amp;n=465728&amp;dst=100512">
        <w:r>
          <w:rPr>
            <w:rStyle w:val="Style"/>
            <w:sz w:val="28"/>
            <w:szCs w:val="28"/>
          </w:rPr>
          <w:t xml:space="preserve"> частью 3 статьи 46 Фед</w:t>
        </w:r>
      </w:hyperlink>
      <w:r>
        <w:rPr>
          <w:sz w:val="28"/>
          <w:szCs w:val="28"/>
        </w:rPr>
        <w:t>ерального закона                        от 31 июля 2020 года № 248-ФЗ, на официальном сайте органа местного самоуправления Ровеньского муниципального округа Белгородской области (https://rovenkiadm.gosuslugi.ru)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pPr>
        <w:pStyle w:val="11"/>
        <w:ind w:firstLine="720" w:left="0" w:right="0"/>
        <w:jc w:val="both"/>
        <w:rPr/>
      </w:pPr>
      <w:r>
        <w:rPr>
          <w:color w:val="000000"/>
        </w:rPr>
        <w:t>Размещенные сведения на указанном официальном сайте поддерживаются в актуальном состоянии и обновляются в срок не позднее 5 рабочих дней с момента их изменения.</w:t>
      </w:r>
    </w:p>
    <w:p>
      <w:pPr>
        <w:pStyle w:val="11"/>
        <w:ind w:firstLine="720" w:left="0" w:right="0"/>
        <w:jc w:val="both"/>
        <w:rPr>
          <w:color w:val="000000"/>
        </w:rPr>
      </w:pPr>
      <w:r>
        <w:rPr>
          <w:color w:val="000000"/>
        </w:rPr>
        <w:t>3.5. Предостережение о недопустимости нарушения обязательных требований объявляется контролируемому лицу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предлагается принять меры по обеспечению соблюдения обязательных требований.</w:t>
      </w:r>
    </w:p>
    <w:p>
      <w:pPr>
        <w:pStyle w:val="11"/>
        <w:ind w:firstLine="720" w:left="0" w:right="0"/>
        <w:jc w:val="both"/>
        <w:rPr>
          <w:color w:val="000000"/>
        </w:rPr>
      </w:pPr>
      <w:r>
        <w:rPr>
          <w:color w:val="000000"/>
        </w:rPr>
        <w:t xml:space="preserve">3.6. </w:t>
      </w:r>
      <w:hyperlink r:id="rId7" w:tooltip="https://login.consultant.ru/link/?req=doc&amp;base=LAW&amp;n=403777&amp;dst=100762">
        <w:r>
          <w:rPr>
            <w:rStyle w:val="Style"/>
            <w:color w:val="000000"/>
          </w:rPr>
          <w:t>Предостережение о н</w:t>
        </w:r>
      </w:hyperlink>
      <w:r>
        <w:rPr>
          <w:color w:val="000000"/>
        </w:rPr>
        <w:t>едопустимости нарушения обязательных требований составляется по форме, утвержденной Приказом Минэкономразвития России от 31 марта 2021 года № 151 «О типовых формах документов, используемых контрольным (надзорным) органом».</w:t>
      </w:r>
    </w:p>
    <w:p>
      <w:pPr>
        <w:pStyle w:val="11"/>
        <w:ind w:firstLine="720" w:left="0" w:right="0"/>
        <w:jc w:val="both"/>
        <w:rPr>
          <w:color w:val="000000"/>
        </w:rPr>
      </w:pPr>
      <w:r>
        <w:rPr>
          <w:color w:val="000000"/>
        </w:rPr>
        <w:t>3.7. 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pPr>
        <w:pStyle w:val="11"/>
        <w:ind w:firstLine="720" w:left="0" w:right="0"/>
        <w:jc w:val="both"/>
        <w:rPr>
          <w:color w:val="000000"/>
        </w:rPr>
      </w:pPr>
      <w:r>
        <w:rPr>
          <w:color w:val="000000"/>
        </w:rPr>
        <w:t>3.8. В случае объявления Контрольным органом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 срок не позднее 30 календарных дней со дня получения им предостережения. Возражение в отношении предостережения рассматривается Контрольным органом в течение 30 календарных дней со дня его получения. В результате рассмотрения возражения контролируемому лицу направляется ответ с информацией о согласии или несогласии с возражением. В случае несогласия с возражением указываются соответствующие обоснования.</w:t>
      </w:r>
    </w:p>
    <w:p>
      <w:pPr>
        <w:pStyle w:val="11"/>
        <w:ind w:firstLine="720" w:left="0" w:right="0"/>
        <w:jc w:val="both"/>
        <w:rPr>
          <w:color w:val="000000"/>
        </w:rPr>
      </w:pPr>
      <w:r>
        <w:rPr>
          <w:color w:val="000000"/>
        </w:rPr>
        <w:t>3.9. Консультирование контролируемых лиц и их представителей осуществляется должностным лицом Контрольного органа по обращениям контролируемых лиц и их представителей,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 по вопросам, связанным с организацией и осуществлением муниципального контроля:</w:t>
      </w:r>
    </w:p>
    <w:p>
      <w:pPr>
        <w:pStyle w:val="11"/>
        <w:ind w:firstLine="720" w:left="0" w:right="0"/>
        <w:jc w:val="both"/>
        <w:rPr>
          <w:color w:val="000000"/>
        </w:rPr>
      </w:pPr>
      <w:r>
        <w:rPr>
          <w:color w:val="000000"/>
        </w:rPr>
        <w:t>- в виде устных разъяснений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мероприятия и не должно превышать 15 минут;</w:t>
      </w:r>
    </w:p>
    <w:p>
      <w:pPr>
        <w:pStyle w:val="11"/>
        <w:ind w:firstLine="720" w:left="0" w:right="0"/>
        <w:jc w:val="both"/>
        <w:rPr>
          <w:color w:val="000000"/>
        </w:rPr>
      </w:pPr>
      <w:r>
        <w:rPr>
          <w:color w:val="000000"/>
        </w:rPr>
        <w:t>- в виде письменных разъяснений;</w:t>
      </w:r>
    </w:p>
    <w:p>
      <w:pPr>
        <w:pStyle w:val="11"/>
        <w:ind w:firstLine="720" w:left="0" w:right="0"/>
        <w:jc w:val="both"/>
        <w:rPr>
          <w:color w:val="000000"/>
        </w:rPr>
      </w:pPr>
      <w:r>
        <w:rPr>
          <w:color w:val="000000"/>
        </w:rPr>
        <w:t>- посредством размещения на официальном сайте органа местного самоуправления Ровеньского муниципального округа Белгородской области в сети «Интернет» письменного разъяснения, подписанного руководителем Контрольного органа, по однотипным обращениям                 (более пяти однотипных обращений) контролируемых лиц и их представителей.</w:t>
      </w:r>
    </w:p>
    <w:p>
      <w:pPr>
        <w:pStyle w:val="11"/>
        <w:ind w:firstLine="720" w:left="0" w:right="0"/>
        <w:jc w:val="both"/>
        <w:rPr>
          <w:color w:val="000000"/>
        </w:rPr>
      </w:pPr>
      <w:r>
        <w:rPr>
          <w:color w:val="000000"/>
        </w:rPr>
        <w:t>3.10. Консультирование осуществляется по следующим вопросам:</w:t>
      </w:r>
    </w:p>
    <w:p>
      <w:pPr>
        <w:pStyle w:val="11"/>
        <w:ind w:firstLine="720" w:left="0" w:right="0"/>
        <w:jc w:val="both"/>
        <w:rPr>
          <w:color w:val="000000"/>
        </w:rPr>
      </w:pPr>
      <w:r>
        <w:rPr>
          <w:color w:val="000000"/>
        </w:rPr>
        <w:t>- организация и осуществление муниципального земельного контроля;</w:t>
      </w:r>
    </w:p>
    <w:p>
      <w:pPr>
        <w:pStyle w:val="11"/>
        <w:ind w:firstLine="720" w:left="0" w:right="0"/>
        <w:jc w:val="both"/>
        <w:rPr>
          <w:color w:val="000000"/>
        </w:rPr>
      </w:pPr>
      <w:r>
        <w:rPr>
          <w:color w:val="000000"/>
        </w:rPr>
        <w:t>- порядок осуществления контрольных мероприятий, установленных настоящим Положением;</w:t>
      </w:r>
    </w:p>
    <w:p>
      <w:pPr>
        <w:pStyle w:val="11"/>
        <w:ind w:firstLine="720" w:left="0" w:right="0"/>
        <w:jc w:val="both"/>
        <w:rPr>
          <w:color w:val="000000"/>
        </w:rPr>
      </w:pPr>
      <w:r>
        <w:rPr>
          <w:color w:val="000000"/>
        </w:rPr>
        <w:t>- порядок обжалования действий (бездействия) должностных лиц Контрольного органа;</w:t>
      </w:r>
    </w:p>
    <w:p>
      <w:pPr>
        <w:pStyle w:val="11"/>
        <w:ind w:firstLine="720" w:left="0" w:right="0"/>
        <w:jc w:val="both"/>
        <w:rPr>
          <w:color w:val="000000"/>
        </w:rPr>
      </w:pPr>
      <w:r>
        <w:rPr>
          <w:color w:val="000000"/>
        </w:rPr>
        <w:t>-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органом в рамках контрольных мероприятий.</w:t>
      </w:r>
    </w:p>
    <w:p>
      <w:pPr>
        <w:pStyle w:val="11"/>
        <w:ind w:firstLine="720" w:left="0" w:right="0"/>
        <w:jc w:val="both"/>
        <w:rPr>
          <w:color w:val="000000"/>
        </w:rPr>
      </w:pPr>
      <w:r>
        <w:rPr>
          <w:color w:val="000000"/>
        </w:rPr>
        <w:t>3.11. Консультирование в письменной форме осуществляется инспектором в следующих случаях:</w:t>
      </w:r>
    </w:p>
    <w:p>
      <w:pPr>
        <w:pStyle w:val="11"/>
        <w:ind w:firstLine="720" w:left="0" w:right="0"/>
        <w:jc w:val="both"/>
        <w:rPr>
          <w:color w:val="000000"/>
        </w:rPr>
      </w:pPr>
      <w:r>
        <w:rPr>
          <w:color w:val="000000"/>
        </w:rPr>
        <w:t>- контролируемым лицом представлен письменный запрос о предоставлении письменного ответа по вопросам консультирования;</w:t>
      </w:r>
    </w:p>
    <w:p>
      <w:pPr>
        <w:pStyle w:val="11"/>
        <w:ind w:firstLine="720" w:left="0" w:right="0"/>
        <w:jc w:val="both"/>
        <w:rPr>
          <w:color w:val="000000"/>
        </w:rPr>
      </w:pPr>
      <w:r>
        <w:rPr>
          <w:color w:val="000000"/>
        </w:rPr>
        <w:t>- за время консультирования предоставить ответ на поставленные вопросы невозможно;</w:t>
      </w:r>
    </w:p>
    <w:p>
      <w:pPr>
        <w:pStyle w:val="11"/>
        <w:ind w:firstLine="720" w:left="0" w:right="0"/>
        <w:jc w:val="both"/>
        <w:rPr>
          <w:color w:val="000000"/>
        </w:rPr>
      </w:pPr>
      <w:r>
        <w:rPr>
          <w:color w:val="000000"/>
        </w:rPr>
        <w:t>- ответ на поставленные вопросы требует дополнительного запроса сведений от органов власти или иных лиц.</w:t>
      </w:r>
    </w:p>
    <w:p>
      <w:pPr>
        <w:pStyle w:val="11"/>
        <w:ind w:firstLine="720" w:left="0" w:right="0"/>
        <w:jc w:val="both"/>
        <w:rPr>
          <w:color w:val="000000"/>
        </w:rPr>
      </w:pPr>
      <w:r>
        <w:rPr>
          <w:color w:val="000000"/>
        </w:rPr>
        <w:t>3.12. При осуществлении консультирования должностное лицо Контрольного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pPr>
        <w:pStyle w:val="11"/>
        <w:ind w:firstLine="720" w:left="0" w:right="0"/>
        <w:jc w:val="both"/>
        <w:rPr>
          <w:color w:val="000000"/>
        </w:rPr>
      </w:pPr>
      <w:r>
        <w:rPr>
          <w:color w:val="000000"/>
        </w:rPr>
        <w:t>3.13. 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Контрольного органа, иных участников контрольного мероприятия, а также результаты проведенной в рамках контрольного мероприятия экспертизы.</w:t>
      </w:r>
    </w:p>
    <w:p>
      <w:pPr>
        <w:pStyle w:val="11"/>
        <w:ind w:firstLine="720" w:left="0" w:right="0"/>
        <w:jc w:val="both"/>
        <w:rPr>
          <w:color w:val="000000"/>
        </w:rPr>
      </w:pPr>
      <w:r>
        <w:rPr>
          <w:color w:val="000000"/>
        </w:rPr>
        <w:t>3.14. Информация, ставшая известной должностному лицу Контрольного органа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pPr>
        <w:pStyle w:val="11"/>
        <w:ind w:firstLine="720" w:left="0" w:right="0"/>
        <w:jc w:val="both"/>
        <w:rPr>
          <w:color w:val="000000"/>
        </w:rPr>
      </w:pPr>
      <w:r>
        <w:rPr>
          <w:color w:val="000000"/>
        </w:rPr>
        <w:t>3.15. Контрольным органом осуществляется учет проведенных консультирований.</w:t>
      </w:r>
    </w:p>
    <w:p>
      <w:pPr>
        <w:pStyle w:val="11"/>
        <w:ind w:firstLine="720" w:left="0" w:right="0"/>
        <w:jc w:val="both"/>
        <w:rPr>
          <w:color w:val="000000"/>
        </w:rPr>
      </w:pPr>
      <w:r>
        <w:rPr>
          <w:color w:val="000000"/>
        </w:rPr>
        <w:t>3.16. В случае если в течение календарного года поступило пять и более однотипных (по одним и тем же вопросам) обращений контролируемых лиц и их представителей, консультирование по таким обращениям осуществляется посредством размещения на официальном сайте органов местного самоуправления Ровеньского муниципального округа Белгородской области письменного разъяснения, подписанного уполномоченным должностным лицом, без указания в таком разъяснении сведений, отнесенных к категории ограниченного доступа.</w:t>
      </w:r>
    </w:p>
    <w:p>
      <w:pPr>
        <w:pStyle w:val="11"/>
        <w:ind w:firstLine="720" w:left="0" w:right="0"/>
        <w:jc w:val="both"/>
        <w:rPr>
          <w:color w:val="000000"/>
        </w:rPr>
      </w:pPr>
      <w:r>
        <w:rPr>
          <w:color w:val="000000"/>
        </w:rPr>
        <w:t>3.17. Профилактический визит представляет собой беседу профилактического характера, которая проводится Инспектором на территории, где контролируемое лицо осуществляет свою деятельность, либо дистанционно – посредством видео-конференц-связи или с использованием мобильного приложения «Инспектор». Во время профилактического визита до сведения контролируемого лица доводятся: обязательные требования, относящиеся к его деятельности или принадлежащим ему объектам контроля; информация о том, как эти объекты соотносятся с критериями риска, основания и рекомендуемые меры для снижения категории риска, а также перечень, содержание и периодичность контрольных мероприятий, которые могут проводиться в отношении объектов контроля с учетом присвоенной им категории риска.</w:t>
      </w:r>
    </w:p>
    <w:p>
      <w:pPr>
        <w:pStyle w:val="11"/>
        <w:ind w:firstLine="720" w:left="0" w:right="0"/>
        <w:jc w:val="both"/>
        <w:rPr>
          <w:color w:val="000000"/>
        </w:rPr>
      </w:pPr>
      <w:r>
        <w:rPr>
          <w:color w:val="000000"/>
        </w:rPr>
        <w:t>Продолжительность профилактического визита не может превышать один рабочий день.</w:t>
      </w:r>
    </w:p>
    <w:p>
      <w:pPr>
        <w:pStyle w:val="11"/>
        <w:ind w:firstLine="720" w:left="0" w:right="0"/>
        <w:jc w:val="both"/>
        <w:rPr>
          <w:color w:val="000000"/>
        </w:rPr>
      </w:pPr>
      <w:r>
        <w:rPr>
          <w:color w:val="000000"/>
        </w:rPr>
        <w:t>3.18. В ходе профилактического визита Инспектором осуществляется консультирование контролируемого лица в порядке, предусмотренном пунктами 3.9–3.16 настоящего Положения, а также сбор сведений, необходимых для отнесения объектов контроля к категории риска.</w:t>
      </w:r>
    </w:p>
    <w:p>
      <w:pPr>
        <w:pStyle w:val="11"/>
        <w:ind w:firstLine="720" w:left="0" w:right="0"/>
        <w:jc w:val="both"/>
        <w:rPr>
          <w:color w:val="000000"/>
        </w:rPr>
      </w:pPr>
      <w:r>
        <w:rPr>
          <w:color w:val="000000"/>
        </w:rPr>
        <w:t>3.19. 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pPr>
        <w:pStyle w:val="11"/>
        <w:ind w:firstLine="720" w:left="0" w:right="0"/>
        <w:jc w:val="both"/>
        <w:rPr>
          <w:color w:val="000000"/>
        </w:rPr>
      </w:pPr>
      <w:r>
        <w:rPr>
          <w:color w:val="000000"/>
        </w:rPr>
        <w:t>3.20.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Контрольного органа для принятия решения о проведении контрольных мероприятий.</w:t>
      </w:r>
    </w:p>
    <w:p>
      <w:pPr>
        <w:pStyle w:val="11"/>
        <w:ind w:firstLine="720" w:left="0" w:right="0"/>
        <w:jc w:val="both"/>
        <w:rPr>
          <w:color w:val="000000"/>
        </w:rPr>
      </w:pPr>
      <w:r>
        <w:rPr>
          <w:color w:val="000000"/>
        </w:rPr>
        <w:t>3.21. 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pPr>
        <w:pStyle w:val="11"/>
        <w:ind w:firstLine="720" w:left="0" w:right="0"/>
        <w:jc w:val="both"/>
        <w:rPr>
          <w:color w:val="000000"/>
        </w:rPr>
      </w:pPr>
      <w:r>
        <w:rPr>
          <w:color w:val="000000"/>
        </w:rPr>
        <w:t>3.22. Профилактический визит, проводимый по инициативе контролируемого лица, осуществляется на основании заявления контролируемого лица, направленного в Контрольный орган в письменной форме или в форме электронного документа.</w:t>
      </w:r>
    </w:p>
    <w:p>
      <w:pPr>
        <w:pStyle w:val="11"/>
        <w:ind w:firstLine="720" w:left="0" w:right="0"/>
        <w:jc w:val="both"/>
        <w:rPr>
          <w:color w:val="000000"/>
        </w:rPr>
      </w:pPr>
      <w:r>
        <w:rPr>
          <w:color w:val="000000"/>
        </w:rPr>
        <w:t xml:space="preserve">3.23. Контрольный орган рассматривает заявление о проведении профилактического визита по инициативе контролируемого лица в срок, не превышающий 10 рабочих дней со дня его регистрации, и принимает решение о проведении профилактического визита либо об отказе в его проведении. О принятом решении контролируемое лицо уведомляется не позднее одного рабочего дня со дня его принятия в порядке, установленном частью 4 статьи 21 Федерального закона </w:t>
      </w:r>
      <w:r>
        <w:rPr/>
        <w:t>от 31 июля 2020 года</w:t>
      </w:r>
      <w:r>
        <w:rPr>
          <w:color w:val="000000"/>
        </w:rPr>
        <w:t xml:space="preserve"> № 248-ФЗ.</w:t>
      </w:r>
    </w:p>
    <w:p>
      <w:pPr>
        <w:pStyle w:val="11"/>
        <w:ind w:firstLine="720" w:left="0" w:right="0"/>
        <w:jc w:val="both"/>
        <w:rPr>
          <w:color w:val="000000"/>
        </w:rPr>
      </w:pPr>
      <w:r>
        <w:rPr>
          <w:color w:val="000000"/>
        </w:rPr>
        <w:t>3.24. Основаниями для отказа в проведении профилактического визита по инициативе контролируемого лица являются:</w:t>
      </w:r>
    </w:p>
    <w:p>
      <w:pPr>
        <w:pStyle w:val="11"/>
        <w:ind w:firstLine="720" w:left="0" w:right="0"/>
        <w:jc w:val="both"/>
        <w:rPr>
          <w:color w:val="000000"/>
        </w:rPr>
      </w:pPr>
      <w:r>
        <w:rPr>
          <w:color w:val="000000"/>
        </w:rPr>
        <w:t>1) проведение в течение одного года, предшествующего дню поступления заявления, двух и более профилактических визитов по инициативе данного контролируемого лица;</w:t>
      </w:r>
    </w:p>
    <w:p>
      <w:pPr>
        <w:pStyle w:val="11"/>
        <w:ind w:firstLine="720" w:left="0" w:right="0"/>
        <w:jc w:val="both"/>
        <w:rPr>
          <w:color w:val="000000"/>
        </w:rPr>
      </w:pPr>
      <w:r>
        <w:rPr>
          <w:color w:val="000000"/>
        </w:rPr>
        <w:t>2) запланированное проведение в отношении контролируемого лица планового контрольного (надзорного) мероприятия в течение шести месяцев, предшествующих дню поступления заявления, либо в течение шести месяцев со дня поступления заявления.</w:t>
      </w:r>
    </w:p>
    <w:p>
      <w:pPr>
        <w:pStyle w:val="11"/>
        <w:ind w:firstLine="720" w:left="0" w:right="0"/>
        <w:jc w:val="both"/>
        <w:rPr>
          <w:color w:val="000000"/>
        </w:rPr>
      </w:pPr>
      <w:r>
        <w:rPr>
          <w:color w:val="000000"/>
        </w:rPr>
        <w:t>3.25. При отсутствии оснований для отказа профилактический визит проводится в порядке, предусмотренном пунктами 3.17–3.20 настоящего Положения, в срок, согласованный с контролируемым лицом. Срок проведения профилактического визита по инициативе контролируемого лица не может превышать 1 рабочий день.</w:t>
      </w:r>
    </w:p>
    <w:p>
      <w:pPr>
        <w:pStyle w:val="11"/>
        <w:ind w:firstLine="720" w:left="0" w:right="0"/>
        <w:jc w:val="both"/>
        <w:rPr>
          <w:color w:val="000000"/>
        </w:rPr>
      </w:pPr>
      <w:r>
        <w:rPr>
          <w:color w:val="000000"/>
        </w:rPr>
        <w:t>3.26. Контрольный орган проводит обязательные профилактические визиты в случаях и порядке, установленных статьёй 52.1 Федерального закона № 248</w:t>
        <w:noBreakHyphen/>
        <w:t>ФЗ.</w:t>
      </w:r>
    </w:p>
    <w:p>
      <w:pPr>
        <w:pStyle w:val="11"/>
        <w:ind w:firstLine="720" w:left="0" w:right="0"/>
        <w:jc w:val="both"/>
        <w:rPr>
          <w:color w:val="000000"/>
        </w:rPr>
      </w:pPr>
      <w:r>
        <w:rPr>
          <w:color w:val="000000"/>
        </w:rPr>
        <w:t>3.27. Обязательный профилактический визит проводится независимо от согласия контролируемого лица. О проведении такого визита контролируемое лицо уведомляется не позднее чем за 24 часа.</w:t>
      </w:r>
    </w:p>
    <w:p>
      <w:pPr>
        <w:pStyle w:val="11"/>
        <w:ind w:firstLine="720" w:left="0" w:right="0"/>
        <w:jc w:val="both"/>
        <w:rPr>
          <w:color w:val="000000"/>
        </w:rPr>
      </w:pPr>
      <w:r>
        <w:rPr>
          <w:color w:val="000000"/>
        </w:rPr>
        <w:t xml:space="preserve">3.28. В ходе обязательного профилактического визита инспектор вправе совершать контрольные (надзорные) действия, предусмотренные частью 4 статьи 52.1 Федерального закона </w:t>
      </w:r>
      <w:r>
        <w:rPr/>
        <w:t>от 31 июля 2020 года</w:t>
      </w:r>
      <w:r>
        <w:rPr>
          <w:color w:val="000000"/>
        </w:rPr>
        <w:t xml:space="preserve"> № 248</w:t>
        <w:noBreakHyphen/>
        <w:t>ФЗ. Срок визита не может превышать 10 рабочих дней с возможностью продления на время экспертиз и испытаний.</w:t>
      </w:r>
    </w:p>
    <w:p>
      <w:pPr>
        <w:pStyle w:val="11"/>
        <w:ind w:firstLine="720" w:left="0" w:right="0"/>
        <w:jc w:val="both"/>
        <w:rPr>
          <w:color w:val="000000"/>
        </w:rPr>
      </w:pPr>
      <w:r>
        <w:rPr>
          <w:color w:val="000000"/>
        </w:rPr>
        <w:t xml:space="preserve">3.29. Результаты обязательного профилактического визита оформляются актом. Если выявленные нарушения не устранены до окончания визита, контролируемому лицу выдаётся предписание об их устранении в соответствии со статьёй 90.1 Федерального закона                           </w:t>
      </w:r>
      <w:r>
        <w:rPr/>
        <w:t>от 31 июля 2020 года</w:t>
      </w:r>
      <w:r>
        <w:rPr>
          <w:color w:val="000000"/>
        </w:rPr>
        <w:t xml:space="preserve"> № 248</w:t>
        <w:noBreakHyphen/>
        <w:t>ФЗ.</w:t>
      </w:r>
    </w:p>
    <w:p>
      <w:pPr>
        <w:pStyle w:val="ConsPlusNormal"/>
        <w:jc w:val="both"/>
        <w:rPr>
          <w:color w:val="FF3333"/>
          <w:sz w:val="28"/>
          <w:szCs w:val="28"/>
        </w:rPr>
      </w:pPr>
      <w:r>
        <w:rPr>
          <w:color w:val="FF3333"/>
          <w:sz w:val="28"/>
          <w:szCs w:val="28"/>
        </w:rPr>
      </w:r>
    </w:p>
    <w:p>
      <w:pPr>
        <w:pStyle w:val="ListParagraph"/>
        <w:ind w:left="0"/>
        <w:jc w:val="center"/>
        <w:rPr>
          <w:rFonts w:ascii="Times New Roman" w:hAnsi="Times New Roman"/>
          <w:b/>
          <w:sz w:val="28"/>
          <w:szCs w:val="28"/>
          <w:highlight w:val="none"/>
        </w:rPr>
      </w:pPr>
      <w:r>
        <w:rPr>
          <w:b/>
          <w:sz w:val="28"/>
          <w:szCs w:val="28"/>
        </w:rPr>
        <w:t>4. Порядок организации муниципального контроля</w:t>
      </w:r>
    </w:p>
    <w:p>
      <w:pPr>
        <w:pStyle w:val="ListParagraph"/>
        <w:ind w:left="0"/>
        <w:jc w:val="center"/>
        <w:rPr>
          <w:rFonts w:ascii="Times New Roman" w:hAnsi="Times New Roman"/>
          <w:sz w:val="28"/>
          <w:szCs w:val="28"/>
        </w:rPr>
      </w:pPr>
      <w:r>
        <w:rPr>
          <w:sz w:val="28"/>
          <w:szCs w:val="28"/>
        </w:rPr>
      </w:r>
    </w:p>
    <w:p>
      <w:pPr>
        <w:pStyle w:val="11"/>
        <w:ind w:firstLine="720" w:left="0" w:right="0"/>
        <w:jc w:val="both"/>
        <w:rPr>
          <w:color w:val="000000"/>
        </w:rPr>
      </w:pPr>
      <w:r>
        <w:rPr>
          <w:color w:val="000000"/>
        </w:rPr>
        <w:t>4.1. В рамках осуществления муниципального земельного контроля Контрольным органом проводятся следующие виды контрольных мероприятий и контрольных действий в рамках указанных мероприятий:</w:t>
      </w:r>
    </w:p>
    <w:p>
      <w:pPr>
        <w:pStyle w:val="11"/>
        <w:ind w:firstLine="720" w:left="0" w:right="0"/>
        <w:jc w:val="both"/>
        <w:rPr>
          <w:color w:val="000000"/>
        </w:rPr>
      </w:pPr>
      <w:r>
        <w:rPr>
          <w:color w:val="000000"/>
        </w:rPr>
        <w:t>4.2. Во взаимодействии с конкретным контролируемым лицом и (или) владельцем (пользователем) объекта контроля:</w:t>
      </w:r>
    </w:p>
    <w:p>
      <w:pPr>
        <w:pStyle w:val="11"/>
        <w:ind w:firstLine="720" w:left="0" w:right="0"/>
        <w:jc w:val="both"/>
        <w:rPr>
          <w:color w:val="000000"/>
        </w:rPr>
      </w:pPr>
      <w:r>
        <w:rPr>
          <w:color w:val="000000"/>
        </w:rPr>
        <w:t>- инспекционный визит;</w:t>
      </w:r>
    </w:p>
    <w:p>
      <w:pPr>
        <w:pStyle w:val="11"/>
        <w:ind w:firstLine="720" w:left="0" w:right="0"/>
        <w:jc w:val="both"/>
        <w:rPr>
          <w:color w:val="000000"/>
        </w:rPr>
      </w:pPr>
      <w:r>
        <w:rPr>
          <w:color w:val="000000"/>
        </w:rPr>
        <w:t>- рейдовый осмотр;</w:t>
      </w:r>
    </w:p>
    <w:p>
      <w:pPr>
        <w:pStyle w:val="11"/>
        <w:ind w:firstLine="720" w:left="0" w:right="0"/>
        <w:jc w:val="both"/>
        <w:rPr>
          <w:color w:val="000000"/>
        </w:rPr>
      </w:pPr>
      <w:r>
        <w:rPr>
          <w:color w:val="000000"/>
        </w:rPr>
        <w:t>- документарная проверка;</w:t>
      </w:r>
    </w:p>
    <w:p>
      <w:pPr>
        <w:pStyle w:val="11"/>
        <w:ind w:firstLine="720" w:left="0" w:right="0"/>
        <w:jc w:val="both"/>
        <w:rPr>
          <w:color w:val="000000"/>
        </w:rPr>
      </w:pPr>
      <w:r>
        <w:rPr>
          <w:color w:val="000000"/>
        </w:rPr>
        <w:t>- выездная проверка.</w:t>
      </w:r>
    </w:p>
    <w:p>
      <w:pPr>
        <w:pStyle w:val="11"/>
        <w:ind w:firstLine="720" w:left="0" w:right="0"/>
        <w:jc w:val="both"/>
        <w:rPr>
          <w:color w:val="000000"/>
        </w:rPr>
      </w:pPr>
      <w:r>
        <w:rPr>
          <w:color w:val="000000"/>
        </w:rPr>
        <w:t>4.3. Без взаимодействия с контролируемым лицом:</w:t>
      </w:r>
    </w:p>
    <w:p>
      <w:pPr>
        <w:pStyle w:val="11"/>
        <w:ind w:firstLine="720" w:left="0" w:right="0"/>
        <w:jc w:val="both"/>
        <w:rPr>
          <w:color w:val="000000"/>
        </w:rPr>
      </w:pPr>
      <w:r>
        <w:rPr>
          <w:color w:val="000000"/>
        </w:rPr>
        <w:t>- наблюдение за соблюдением обязательных требований;</w:t>
      </w:r>
    </w:p>
    <w:p>
      <w:pPr>
        <w:pStyle w:val="11"/>
        <w:ind w:firstLine="720" w:left="0" w:right="0"/>
        <w:jc w:val="both"/>
        <w:rPr>
          <w:color w:val="000000"/>
        </w:rPr>
      </w:pPr>
      <w:r>
        <w:rPr>
          <w:color w:val="000000"/>
        </w:rPr>
        <w:t>- выездное обследование.</w:t>
      </w:r>
    </w:p>
    <w:p>
      <w:pPr>
        <w:pStyle w:val="11"/>
        <w:ind w:firstLine="720" w:left="0" w:right="0"/>
        <w:jc w:val="both"/>
        <w:rPr>
          <w:color w:val="000000"/>
        </w:rPr>
      </w:pPr>
      <w:r>
        <w:rPr>
          <w:color w:val="000000"/>
        </w:rPr>
        <w:t>4.4. Основанием для проведения контрольных мероприятий в отношении контролируемых лиц, проводимых с взаимодействием с ними, может быть:</w:t>
      </w:r>
    </w:p>
    <w:p>
      <w:pPr>
        <w:pStyle w:val="11"/>
        <w:ind w:firstLine="720" w:left="0" w:right="0"/>
        <w:jc w:val="both"/>
        <w:rPr>
          <w:color w:val="000000"/>
        </w:rPr>
      </w:pPr>
      <w:r>
        <w:rPr>
          <w:color w:val="000000"/>
        </w:rPr>
        <w:t>-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перечнем индикаторов риска нарушения обязательных требований, или отклонения объекта контроля от таких параметров;</w:t>
      </w:r>
    </w:p>
    <w:p>
      <w:pPr>
        <w:pStyle w:val="11"/>
        <w:ind w:firstLine="720" w:left="0" w:right="0"/>
        <w:jc w:val="both"/>
        <w:rPr>
          <w:color w:val="000000"/>
        </w:rPr>
      </w:pPr>
      <w:r>
        <w:rPr>
          <w:color w:val="000000"/>
        </w:rPr>
        <w:t>- наступление сроков проведения контрольных мероприятий, включенных в план проведения контрольных мероприятий;</w:t>
      </w:r>
    </w:p>
    <w:p>
      <w:pPr>
        <w:pStyle w:val="11"/>
        <w:ind w:firstLine="720" w:left="0" w:right="0"/>
        <w:jc w:val="both"/>
        <w:rPr>
          <w:color w:val="000000"/>
        </w:rPr>
      </w:pPr>
      <w:r>
        <w:rPr>
          <w:color w:val="000000"/>
        </w:rPr>
        <w:t>-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pPr>
        <w:pStyle w:val="11"/>
        <w:ind w:firstLine="720" w:left="0" w:right="0"/>
        <w:jc w:val="both"/>
        <w:rPr>
          <w:color w:val="000000"/>
        </w:rPr>
      </w:pPr>
      <w:r>
        <w:rPr>
          <w:color w:val="000000"/>
        </w:rPr>
        <w:t>-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pPr>
        <w:pStyle w:val="11"/>
        <w:ind w:firstLine="720" w:left="0" w:right="0"/>
        <w:jc w:val="both"/>
        <w:rPr>
          <w:color w:val="000000"/>
        </w:rPr>
      </w:pPr>
      <w:r>
        <w:rPr>
          <w:color w:val="000000"/>
        </w:rPr>
        <w:t>- истечение срока исполнения решения Контрольного органа об устранении выявленного нарушения обязательных требований - в случаях, установленных</w:t>
      </w:r>
      <w:hyperlink r:id="rId8" w:tooltip="https://login.consultant.ru/link/?req=doc&amp;base=LAW&amp;n=465728&amp;dst=101267">
        <w:r>
          <w:rPr>
            <w:rStyle w:val="Style"/>
            <w:color w:val="000000"/>
          </w:rPr>
          <w:t xml:space="preserve"> частью 1 статьи 95 Фед</w:t>
        </w:r>
      </w:hyperlink>
      <w:r>
        <w:rPr>
          <w:color w:val="000000"/>
        </w:rPr>
        <w:t xml:space="preserve">ерального закона                                         </w:t>
      </w:r>
      <w:r>
        <w:rPr/>
        <w:t>от 31 июля 2020 года</w:t>
      </w:r>
      <w:r>
        <w:rPr>
          <w:color w:val="000000"/>
        </w:rPr>
        <w:t xml:space="preserve"> № 248-ФЗ.</w:t>
      </w:r>
    </w:p>
    <w:p>
      <w:pPr>
        <w:pStyle w:val="11"/>
        <w:ind w:firstLine="720" w:left="0" w:right="0"/>
        <w:jc w:val="both"/>
        <w:rPr>
          <w:color w:val="000000"/>
        </w:rPr>
      </w:pPr>
      <w:r>
        <w:rPr>
          <w:color w:val="000000"/>
        </w:rPr>
        <w:t>- выявление соответствия объекта контроля параметрам, утвержденным перечнем индикаторов риска нарушения обязательных требований, или отклонения объекта контроля от таких параметров;</w:t>
      </w:r>
    </w:p>
    <w:p>
      <w:pPr>
        <w:pStyle w:val="11"/>
        <w:ind w:firstLine="720" w:left="0" w:right="0"/>
        <w:jc w:val="both"/>
        <w:rPr>
          <w:color w:val="000000"/>
        </w:rPr>
      </w:pPr>
      <w:r>
        <w:rPr>
          <w:color w:val="000000"/>
        </w:rPr>
        <w:t>- выявление признаков нарушений обязательных требований, полученных с использованием средств, работающих в автоматическом режиме, имеющих функции фотосъемки, видеозаписи, в том числе беспилотных аппаратов (систем).</w:t>
      </w:r>
    </w:p>
    <w:p>
      <w:pPr>
        <w:pStyle w:val="11"/>
        <w:ind w:firstLine="720" w:left="0" w:right="0"/>
        <w:jc w:val="both"/>
        <w:rPr>
          <w:color w:val="000000"/>
        </w:rPr>
      </w:pPr>
      <w:r>
        <w:rPr>
          <w:color w:val="000000"/>
        </w:rPr>
        <w:t xml:space="preserve">4.5. Контрольные мероприятия, проводимые при взаимодействии с контролируемым лицом, проводятся Инспекторами на основании решения Контрольного органа о проведении контрольного мероприятия. Указанное решение составляется по форме, утвержденной </w:t>
      </w:r>
      <w:hyperlink r:id="rId9" w:tooltip="https://login.consultant.ru/link/?req=doc&amp;base=LAW&amp;n=403777">
        <w:r>
          <w:rPr>
            <w:rStyle w:val="Style"/>
            <w:color w:val="000000"/>
          </w:rPr>
          <w:t>Приказом</w:t>
        </w:r>
      </w:hyperlink>
      <w:r>
        <w:rPr>
          <w:color w:val="000000"/>
        </w:rPr>
        <w:t xml:space="preserve"> Минэкономразвития России от 31 марта 2021 года № 151 «О типовых формах документов, используемых контрольным (надзорным) органом».</w:t>
      </w:r>
    </w:p>
    <w:p>
      <w:pPr>
        <w:pStyle w:val="11"/>
        <w:ind w:firstLine="720" w:left="0" w:right="0"/>
        <w:jc w:val="both"/>
        <w:rPr>
          <w:color w:val="000000"/>
        </w:rPr>
      </w:pPr>
      <w:r>
        <w:rPr>
          <w:color w:val="000000"/>
        </w:rPr>
        <w:t>4.6. Контрольные мероприятия, проводимые без взаимодействия с контролируемым лицом, проводятся Инспекторами на основании заданий руководителя Контрольного органа.</w:t>
      </w:r>
    </w:p>
    <w:p>
      <w:pPr>
        <w:pStyle w:val="11"/>
        <w:ind w:firstLine="720" w:left="0" w:right="0"/>
        <w:jc w:val="both"/>
        <w:rPr>
          <w:color w:val="000000"/>
        </w:rPr>
      </w:pPr>
      <w:r>
        <w:rPr>
          <w:color w:val="000000"/>
        </w:rPr>
        <w:t>4.7. Контрольные мероприятия, указанные в пункте 4.2 настоящего Положения, осуществляются Контрольным органом в форме плановых и внеплановых мероприятий.</w:t>
      </w:r>
    </w:p>
    <w:p>
      <w:pPr>
        <w:pStyle w:val="11"/>
        <w:ind w:firstLine="720" w:left="0" w:right="0"/>
        <w:jc w:val="both"/>
        <w:rPr>
          <w:color w:val="000000"/>
        </w:rPr>
      </w:pPr>
      <w:r>
        <w:rPr>
          <w:color w:val="000000"/>
        </w:rPr>
        <w:t>4.8. Контрольные мероприятия, указанные в пункте 4.3 настоящего Положения, осуществляются Контрольным органом в форме внеплановых мероприятий.</w:t>
      </w:r>
    </w:p>
    <w:p>
      <w:pPr>
        <w:pStyle w:val="11"/>
        <w:ind w:firstLine="720" w:left="0" w:right="0"/>
        <w:jc w:val="both"/>
        <w:rPr>
          <w:color w:val="000000"/>
        </w:rPr>
      </w:pPr>
      <w:r>
        <w:rPr>
          <w:color w:val="000000"/>
        </w:rPr>
        <w:t>4.9. Плановые контрольные мероприятия осуществляются в соответствии с ежегодными планами проведения плановых контрольных мероприятий.</w:t>
      </w:r>
    </w:p>
    <w:p>
      <w:pPr>
        <w:pStyle w:val="11"/>
        <w:ind w:firstLine="720" w:left="0" w:right="0"/>
        <w:jc w:val="both"/>
        <w:rPr>
          <w:color w:val="000000"/>
        </w:rPr>
      </w:pPr>
      <w:r>
        <w:rPr>
          <w:color w:val="000000"/>
        </w:rPr>
        <w:t xml:space="preserve">4.10. План проведения плановых контрольных мероприятий разрабатываются в соответствии с </w:t>
      </w:r>
      <w:hyperlink r:id="rId10" w:tooltip="https://login.consultant.ru/link/?req=doc&amp;base=LAW&amp;n=477088&amp;dst=100011">
        <w:r>
          <w:rPr>
            <w:rStyle w:val="Style"/>
            <w:color w:val="000000"/>
          </w:rPr>
          <w:t>Правилами ф</w:t>
        </w:r>
      </w:hyperlink>
      <w:r>
        <w:rPr>
          <w:color w:val="000000"/>
        </w:rPr>
        <w:t>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 от 31 декабря 2020 года №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с учетом особенностей, установленных настоящим Положением.</w:t>
      </w:r>
    </w:p>
    <w:p>
      <w:pPr>
        <w:pStyle w:val="11"/>
        <w:ind w:firstLine="720" w:left="0" w:right="0"/>
        <w:jc w:val="both"/>
        <w:rPr>
          <w:color w:val="000000"/>
        </w:rPr>
      </w:pPr>
      <w:r>
        <w:rPr>
          <w:color w:val="000000"/>
        </w:rPr>
        <w:t>4.11. Внеплановые контрольные мероприятия проводятся при наличии оснований, указанных в подпунктах 1, 3-7 пункта 4.4 настоящего Положения, за исключением подпункта 2 (наступление срока плановой проверки).</w:t>
      </w:r>
    </w:p>
    <w:p>
      <w:pPr>
        <w:pStyle w:val="11"/>
        <w:ind w:firstLine="720" w:left="0" w:right="0"/>
        <w:jc w:val="both"/>
        <w:rPr>
          <w:color w:val="000000"/>
        </w:rPr>
      </w:pPr>
      <w:r>
        <w:rPr>
          <w:color w:val="000000"/>
        </w:rPr>
        <w:t>4.12. Конкретный вид и содержание внепланового контрольного мероприятия (перечень контрольных действий) устанавливается в решении о проведении внепланового контрольного мероприятия.</w:t>
      </w:r>
    </w:p>
    <w:p>
      <w:pPr>
        <w:pStyle w:val="11"/>
        <w:ind w:firstLine="720" w:left="0" w:right="0"/>
        <w:jc w:val="both"/>
        <w:rPr>
          <w:color w:val="000000"/>
        </w:rPr>
      </w:pPr>
      <w:r>
        <w:rPr>
          <w:color w:val="000000"/>
        </w:rPr>
      </w:r>
    </w:p>
    <w:p>
      <w:pPr>
        <w:pStyle w:val="ListParagraph"/>
        <w:ind w:left="0"/>
        <w:jc w:val="center"/>
        <w:rPr>
          <w:rFonts w:ascii="Times New Roman" w:hAnsi="Times New Roman"/>
          <w:b/>
          <w:sz w:val="28"/>
          <w:szCs w:val="28"/>
          <w:highlight w:val="none"/>
        </w:rPr>
      </w:pPr>
      <w:bookmarkStart w:id="1" w:name="undefined_Копия_1"/>
      <w:r>
        <w:rPr>
          <w:b/>
          <w:sz w:val="28"/>
          <w:szCs w:val="28"/>
        </w:rPr>
        <w:t>5. Контрольные мероприятия</w:t>
      </w:r>
      <w:bookmarkEnd w:id="1"/>
    </w:p>
    <w:p>
      <w:pPr>
        <w:pStyle w:val="ListParagraph"/>
        <w:ind w:left="0"/>
        <w:jc w:val="center"/>
        <w:rPr>
          <w:rFonts w:ascii="Times New Roman" w:hAnsi="Times New Roman"/>
          <w:b/>
          <w:sz w:val="28"/>
          <w:szCs w:val="28"/>
        </w:rPr>
      </w:pPr>
      <w:r>
        <w:rPr>
          <w:b/>
          <w:sz w:val="28"/>
          <w:szCs w:val="28"/>
        </w:rPr>
      </w:r>
    </w:p>
    <w:p>
      <w:pPr>
        <w:pStyle w:val="11"/>
        <w:ind w:firstLine="720" w:left="0" w:right="0"/>
        <w:jc w:val="both"/>
        <w:rPr>
          <w:color w:val="000000"/>
        </w:rPr>
      </w:pPr>
      <w:r>
        <w:rPr>
          <w:color w:val="000000"/>
        </w:rPr>
        <w:t>5.1.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pPr>
        <w:pStyle w:val="11"/>
        <w:ind w:firstLine="720" w:left="0" w:right="0"/>
        <w:jc w:val="both"/>
        <w:rPr>
          <w:color w:val="000000"/>
        </w:rPr>
      </w:pPr>
      <w:r>
        <w:rPr>
          <w:color w:val="000000"/>
        </w:rPr>
        <w:t>5.2. Инспекционный визит осуществляется посредством таких контрольных действий, как осмотр, опрос,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получение письменных объяснений, инструментальное обследование,</w:t>
      </w:r>
      <w:r>
        <w:rPr/>
        <w:t xml:space="preserve"> </w:t>
      </w:r>
      <w:r>
        <w:rPr>
          <w:color w:val="000000"/>
        </w:rPr>
        <w:t xml:space="preserve">а также иных контрольных действий, предусмотренных Федеральным законом </w:t>
      </w:r>
      <w:r>
        <w:rPr/>
        <w:t>от 31 июля 2020 года</w:t>
      </w:r>
      <w:r>
        <w:rPr>
          <w:color w:val="000000"/>
        </w:rPr>
        <w:t xml:space="preserve"> № 248-ФЗ для данного вида мероприятия.</w:t>
      </w:r>
    </w:p>
    <w:p>
      <w:pPr>
        <w:pStyle w:val="11"/>
        <w:ind w:firstLine="720" w:left="0" w:right="0"/>
        <w:jc w:val="both"/>
        <w:rPr>
          <w:color w:val="000000"/>
        </w:rPr>
      </w:pPr>
      <w:r>
        <w:rPr>
          <w:color w:val="000000"/>
        </w:rPr>
        <w:t>5.3. Инспекционный визит,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pPr>
        <w:pStyle w:val="11"/>
        <w:ind w:firstLine="720" w:left="0" w:right="0"/>
        <w:jc w:val="both"/>
        <w:rPr>
          <w:color w:val="000000"/>
        </w:rPr>
      </w:pPr>
      <w:r>
        <w:rPr>
          <w:color w:val="000000"/>
        </w:rPr>
        <w:t>5.4. Инспекционный визит проводится без предварительного уведомления контролируемого лица.</w:t>
      </w:r>
    </w:p>
    <w:p>
      <w:pPr>
        <w:pStyle w:val="11"/>
        <w:ind w:firstLine="720" w:left="0" w:right="0"/>
        <w:jc w:val="both"/>
        <w:rPr>
          <w:color w:val="000000"/>
        </w:rPr>
      </w:pPr>
      <w:r>
        <w:rPr>
          <w:color w:val="000000"/>
        </w:rPr>
        <w:t>5.5.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w:t>
      </w:r>
      <w:hyperlink r:id="rId11" w:tooltip="https://login.consultant.ru/link/?req=doc&amp;base=LAW&amp;n=465728&amp;dst=100636">
        <w:r>
          <w:rPr>
            <w:rStyle w:val="Style"/>
            <w:color w:val="000000"/>
          </w:rPr>
          <w:t xml:space="preserve"> частью 3 статьи 57 и </w:t>
        </w:r>
      </w:hyperlink>
      <w:hyperlink r:id="rId12" w:tooltip="https://login.consultant.ru/link/?req=doc&amp;base=LAW&amp;n=465728&amp;dst=101187">
        <w:r>
          <w:rPr>
            <w:rStyle w:val="Style"/>
            <w:color w:val="000000"/>
          </w:rPr>
          <w:t>частью 12 статьи 66</w:t>
        </w:r>
      </w:hyperlink>
      <w:r>
        <w:rPr>
          <w:color w:val="000000"/>
        </w:rPr>
        <w:t xml:space="preserve"> Федерального закона </w:t>
      </w:r>
      <w:r>
        <w:rPr/>
        <w:t>от 31 июля 2020 года</w:t>
      </w:r>
      <w:r>
        <w:rPr>
          <w:color w:val="000000"/>
        </w:rPr>
        <w:t xml:space="preserve"> № 248-ФЗ.</w:t>
      </w:r>
    </w:p>
    <w:p>
      <w:pPr>
        <w:pStyle w:val="11"/>
        <w:ind w:firstLine="720" w:left="0" w:right="0"/>
        <w:jc w:val="both"/>
        <w:rPr>
          <w:color w:val="000000"/>
        </w:rPr>
      </w:pPr>
      <w:r>
        <w:rPr>
          <w:color w:val="000000"/>
        </w:rPr>
        <w:t>5.6. Срок проведения инспекционного визита в одном месте осуществления деятельности либо на одном объекте контроля не может превышать один рабочий день.</w:t>
      </w:r>
    </w:p>
    <w:p>
      <w:pPr>
        <w:pStyle w:val="11"/>
        <w:ind w:firstLine="720" w:left="0" w:right="0"/>
        <w:jc w:val="both"/>
        <w:rPr>
          <w:color w:val="000000"/>
        </w:rPr>
      </w:pPr>
      <w:r>
        <w:rPr>
          <w:color w:val="000000"/>
        </w:rPr>
        <w:t>5.7. Рейдовый осмотр проводится в отношении любого числа контролируемых лиц, осуществляющих владение, пользование или управление объектом контроля.</w:t>
      </w:r>
    </w:p>
    <w:p>
      <w:pPr>
        <w:pStyle w:val="11"/>
        <w:ind w:firstLine="720" w:left="0" w:right="0"/>
        <w:jc w:val="both"/>
        <w:rPr>
          <w:color w:val="000000"/>
        </w:rPr>
      </w:pPr>
      <w:r>
        <w:rPr>
          <w:color w:val="000000"/>
        </w:rPr>
        <w:t>5.8. В ходе рейдового осмотра могут совершаться следующие контрольные действия: осмотр, досмотр, опрос, получение письменных объяснений, истребование документов, отбор проб (образцов), инструментальное обследование, испытание, экспертиза, эксперимент.</w:t>
      </w:r>
    </w:p>
    <w:p>
      <w:pPr>
        <w:pStyle w:val="11"/>
        <w:ind w:firstLine="720" w:left="0" w:right="0"/>
        <w:jc w:val="both"/>
        <w:rPr>
          <w:color w:val="000000"/>
        </w:rPr>
      </w:pPr>
      <w:r>
        <w:rPr>
          <w:color w:val="000000"/>
        </w:rPr>
        <w:t>5.9. Срок проведения рейдового осмотра не может превышать 10 рабочих дней. Срок взаимодействия с одним контролируемым лицом в период проведения рейдового осмотра не может превышать 1 рабочий день.</w:t>
      </w:r>
    </w:p>
    <w:p>
      <w:pPr>
        <w:pStyle w:val="11"/>
        <w:ind w:firstLine="720" w:left="0" w:right="0"/>
        <w:jc w:val="both"/>
        <w:rPr>
          <w:color w:val="000000"/>
        </w:rPr>
      </w:pPr>
      <w:r>
        <w:rPr>
          <w:color w:val="000000"/>
        </w:rPr>
        <w:t>5.10. При проведении рейдового осмотра Инспекторы вправе взаимодействовать с находящимися на объектах контроля лицами.</w:t>
      </w:r>
    </w:p>
    <w:p>
      <w:pPr>
        <w:pStyle w:val="11"/>
        <w:ind w:firstLine="720" w:left="0" w:right="0"/>
        <w:jc w:val="both"/>
        <w:rPr>
          <w:color w:val="000000"/>
        </w:rPr>
      </w:pPr>
      <w:r>
        <w:rPr>
          <w:color w:val="000000"/>
        </w:rPr>
        <w:t xml:space="preserve">5.11. Рейдовый осмотр может проводиться только по согласованию с органами прокуратуры, за исключением случаев его проведения в соответствии с пунктами 3, 4, 6, 8 части 1, частью 3 статьи 57 и частью 12 статьи 66 Федерального закона </w:t>
      </w:r>
      <w:r>
        <w:rPr/>
        <w:t>от 31 июля 2020 года</w:t>
      </w:r>
      <w:r>
        <w:rPr>
          <w:color w:val="000000"/>
        </w:rPr>
        <w:t xml:space="preserve"> № 248-ФЗ.</w:t>
      </w:r>
    </w:p>
    <w:p>
      <w:pPr>
        <w:pStyle w:val="11"/>
        <w:ind w:firstLine="720" w:left="0" w:right="0"/>
        <w:jc w:val="both"/>
        <w:rPr>
          <w:color w:val="000000"/>
        </w:rPr>
      </w:pPr>
      <w:r>
        <w:rPr>
          <w:color w:val="000000"/>
        </w:rPr>
        <w:t>5.12. Документарная проверка проводится по месту нахождения Контрольного органа, предметом которой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использовании объектов контроля и связанные с исполнением ими обязательных требований и решений Контрольного органа.</w:t>
      </w:r>
    </w:p>
    <w:p>
      <w:pPr>
        <w:pStyle w:val="11"/>
        <w:ind w:firstLine="720" w:left="0" w:right="0"/>
        <w:jc w:val="both"/>
        <w:rPr>
          <w:color w:val="000000"/>
        </w:rPr>
      </w:pPr>
      <w:r>
        <w:rPr>
          <w:color w:val="000000"/>
        </w:rPr>
        <w:t>5.13. В ходе документарной проверки рассматриваются документы контролируемых лиц, имеющиеся в распоряжении Контрольного органа,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земельного контроля. 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«Инспектор».</w:t>
      </w:r>
    </w:p>
    <w:p>
      <w:pPr>
        <w:pStyle w:val="11"/>
        <w:ind w:firstLine="720" w:left="0" w:right="0"/>
        <w:jc w:val="both"/>
        <w:rPr>
          <w:color w:val="000000"/>
        </w:rPr>
      </w:pPr>
      <w:r>
        <w:rPr>
          <w:color w:val="000000"/>
        </w:rPr>
        <w:t>5.14. Если имеющихся в распоряжении у контрольного (надзорного) органа сведений и документов недостаточно, то в ходе документарной проверки могут совершаться следующие контрольные (надзорные) действия: получение письменных объяснений, истребование документов, экспертиза.</w:t>
      </w:r>
    </w:p>
    <w:p>
      <w:pPr>
        <w:pStyle w:val="11"/>
        <w:ind w:firstLine="720" w:left="0" w:right="0"/>
        <w:jc w:val="both"/>
        <w:rPr>
          <w:color w:val="000000"/>
        </w:rPr>
      </w:pPr>
      <w:r>
        <w:rPr>
          <w:color w:val="000000"/>
        </w:rPr>
        <w:t>5.15.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10 рабочих дней со дня получения данного требования контролируемое лицо обязано направить в Контрольный орган указанные в требовании документы.</w:t>
      </w:r>
    </w:p>
    <w:p>
      <w:pPr>
        <w:pStyle w:val="11"/>
        <w:ind w:firstLine="720" w:left="0" w:right="0"/>
        <w:jc w:val="both"/>
        <w:rPr>
          <w:color w:val="000000"/>
        </w:rPr>
      </w:pPr>
      <w:r>
        <w:rPr>
          <w:color w:val="000000"/>
        </w:rPr>
        <w:t>5.16.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земельного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10 рабочих дней необходимые пояснения. Контролируемое лицо, представляющее в Контрольный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земельного контроля, вправе дополнительно представить в Контрольный орган документы, подтверждающие достоверность ранее представленных документов.</w:t>
      </w:r>
    </w:p>
    <w:p>
      <w:pPr>
        <w:pStyle w:val="11"/>
        <w:ind w:firstLine="720" w:left="0" w:right="0"/>
        <w:jc w:val="both"/>
        <w:rPr>
          <w:color w:val="000000"/>
        </w:rPr>
      </w:pPr>
      <w:r>
        <w:rPr>
          <w:color w:val="000000"/>
        </w:rPr>
        <w:t>5.17. При проведении документарной проверки у контролируемого лица не истребуются сведения и документы, не относящиеся к предмету документарной проверки, а также сведения и документы, которые могут быть получены Контрольным органом от иных органов.</w:t>
      </w:r>
    </w:p>
    <w:p>
      <w:pPr>
        <w:pStyle w:val="11"/>
        <w:ind w:firstLine="720" w:left="0" w:right="0"/>
        <w:jc w:val="both"/>
        <w:rPr>
          <w:color w:val="000000"/>
        </w:rPr>
      </w:pPr>
      <w:r>
        <w:rPr>
          <w:color w:val="000000"/>
        </w:rPr>
        <w:t>5.18. Срок проведения документарной проверки не может превышать 10 рабочих дней. В указанный срок не включается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земельного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pPr>
        <w:pStyle w:val="11"/>
        <w:ind w:firstLine="720" w:left="0" w:right="0"/>
        <w:jc w:val="both"/>
        <w:rPr>
          <w:color w:val="000000"/>
        </w:rPr>
      </w:pPr>
      <w:r>
        <w:rPr>
          <w:color w:val="000000"/>
        </w:rPr>
        <w:t xml:space="preserve">5.19.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6, 8 части 1 статьи 57 Федерального закона </w:t>
      </w:r>
      <w:r>
        <w:rPr/>
        <w:t>от 31 июля 2020 года</w:t>
      </w:r>
      <w:r>
        <w:rPr>
          <w:color w:val="000000"/>
        </w:rPr>
        <w:t xml:space="preserve"> № 248-ФЗ.</w:t>
      </w:r>
    </w:p>
    <w:p>
      <w:pPr>
        <w:pStyle w:val="11"/>
        <w:ind w:firstLine="720" w:left="0" w:right="0"/>
        <w:jc w:val="both"/>
        <w:rPr>
          <w:color w:val="000000"/>
        </w:rPr>
      </w:pPr>
      <w:r>
        <w:rPr>
          <w:color w:val="000000"/>
        </w:rPr>
        <w:t>5.20. Выездная проверка проводится в целях оценки соблюдения контролируемым лицом обязательных требований, а также оценки выполнения решений Контрольного органа.</w:t>
      </w:r>
    </w:p>
    <w:p>
      <w:pPr>
        <w:pStyle w:val="11"/>
        <w:ind w:firstLine="720" w:left="0" w:right="0"/>
        <w:jc w:val="both"/>
        <w:rPr>
          <w:color w:val="000000"/>
        </w:rPr>
      </w:pPr>
      <w:r>
        <w:rPr>
          <w:color w:val="000000"/>
        </w:rPr>
        <w:t>5.21.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pPr>
        <w:pStyle w:val="11"/>
        <w:ind w:firstLine="720" w:left="0" w:right="0"/>
        <w:jc w:val="both"/>
        <w:rPr>
          <w:color w:val="000000"/>
        </w:rPr>
      </w:pPr>
      <w:r>
        <w:rPr>
          <w:color w:val="000000"/>
        </w:rPr>
        <w:t>5.22. Выездная проверка проводится в случае, если не представляется возможным:</w:t>
      </w:r>
    </w:p>
    <w:p>
      <w:pPr>
        <w:pStyle w:val="11"/>
        <w:ind w:firstLine="720" w:left="0" w:right="0"/>
        <w:jc w:val="both"/>
        <w:rPr>
          <w:color w:val="000000"/>
        </w:rPr>
      </w:pPr>
      <w:r>
        <w:rPr>
          <w:color w:val="000000"/>
        </w:rPr>
        <w:t>-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pPr>
        <w:pStyle w:val="11"/>
        <w:ind w:firstLine="720" w:left="0" w:right="0"/>
        <w:jc w:val="both"/>
        <w:rPr>
          <w:color w:val="000000"/>
        </w:rPr>
      </w:pPr>
      <w:r>
        <w:rPr>
          <w:color w:val="000000"/>
        </w:rPr>
        <w:t>-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5.21 настоящего Положения место и совершения необходимых контрольных действий, предусмотренных в рамках иного вида контрольных мероприятий.</w:t>
      </w:r>
    </w:p>
    <w:p>
      <w:pPr>
        <w:pStyle w:val="11"/>
        <w:ind w:firstLine="720" w:left="0" w:right="0"/>
        <w:jc w:val="both"/>
        <w:rPr>
          <w:color w:val="000000"/>
        </w:rPr>
      </w:pPr>
      <w:r>
        <w:rPr>
          <w:color w:val="000000"/>
        </w:rPr>
        <w:t>5.23. Выездная проверка осуществляется посредством осмотра, опроса, получения письменных объяснений, истребования документов, инструментального обследования,</w:t>
      </w:r>
      <w:r>
        <w:rPr/>
        <w:t xml:space="preserve"> </w:t>
      </w:r>
      <w:r>
        <w:rPr>
          <w:color w:val="000000"/>
        </w:rPr>
        <w:t xml:space="preserve">а также иных контрольных действий, предусмотренных Федеральным законом </w:t>
      </w:r>
      <w:r>
        <w:rPr/>
        <w:t>от 31 июля 2020 года</w:t>
      </w:r>
      <w:r>
        <w:rPr>
          <w:color w:val="000000"/>
        </w:rPr>
        <w:t xml:space="preserve"> № 248-ФЗ для данного вида мероприятия.</w:t>
      </w:r>
    </w:p>
    <w:p>
      <w:pPr>
        <w:pStyle w:val="11"/>
        <w:ind w:firstLine="720" w:left="0" w:right="0"/>
        <w:jc w:val="both"/>
        <w:rPr>
          <w:color w:val="000000"/>
        </w:rPr>
      </w:pPr>
      <w:r>
        <w:rPr>
          <w:color w:val="000000"/>
        </w:rPr>
        <w:t>5.24. 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pPr>
        <w:pStyle w:val="11"/>
        <w:ind w:firstLine="720" w:left="0" w:right="0"/>
        <w:jc w:val="both"/>
        <w:rPr>
          <w:color w:val="000000"/>
        </w:rPr>
      </w:pPr>
      <w:r>
        <w:rPr>
          <w:color w:val="000000"/>
        </w:rPr>
        <w:t xml:space="preserve">5.25. Контрольный орган уведомляет контролируемое лицо о проведении выездной проверки не позднее чем за 24 часа до ее начала путем направления контролируемому лицу копии решения Контрольного органа о проведении выездной проверки в порядке, предусмотренном </w:t>
      </w:r>
      <w:hyperlink r:id="rId13" w:tooltip="https://login.consultant.ru/link/?req=doc&amp;base=LAW&amp;n=465728&amp;dst=100225">
        <w:r>
          <w:rPr>
            <w:rStyle w:val="Style"/>
            <w:color w:val="000000"/>
          </w:rPr>
          <w:t>статьей</w:t>
        </w:r>
      </w:hyperlink>
      <w:r>
        <w:rPr>
          <w:color w:val="000000"/>
        </w:rPr>
        <w:t xml:space="preserve"> </w:t>
      </w:r>
      <w:hyperlink r:id="rId14" w:tooltip="https://login.consultant.ru/link/?req=doc&amp;base=LAW&amp;n=465728&amp;dst=100225">
        <w:r>
          <w:rPr>
            <w:rStyle w:val="Style"/>
            <w:color w:val="000000"/>
          </w:rPr>
          <w:t xml:space="preserve">21 </w:t>
        </w:r>
      </w:hyperlink>
      <w:r>
        <w:rPr>
          <w:color w:val="000000"/>
        </w:rPr>
        <w:t xml:space="preserve">Федерального закона </w:t>
      </w:r>
      <w:r>
        <w:rPr/>
        <w:t>от 31 июля 2020 года</w:t>
      </w:r>
      <w:r>
        <w:rPr>
          <w:color w:val="000000"/>
        </w:rPr>
        <w:t xml:space="preserve"> № 248-ФЗ.</w:t>
      </w:r>
    </w:p>
    <w:p>
      <w:pPr>
        <w:pStyle w:val="11"/>
        <w:ind w:firstLine="720" w:left="0" w:right="0"/>
        <w:jc w:val="both"/>
        <w:rPr>
          <w:color w:val="000000"/>
        </w:rPr>
      </w:pPr>
      <w:r>
        <w:rPr>
          <w:color w:val="000000"/>
        </w:rPr>
        <w:t xml:space="preserve">5.26.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за исключением выездной проверки, основанием для проведения которой является </w:t>
      </w:r>
      <w:hyperlink r:id="rId15" w:tooltip="https://login.consultant.ru/link/?req=doc&amp;base=LAW&amp;n=465728&amp;dst=100639">
        <w:r>
          <w:rPr>
            <w:rStyle w:val="Style"/>
            <w:color w:val="000000"/>
          </w:rPr>
          <w:t>пункт 6 части 1 статьи 57 Федер</w:t>
        </w:r>
      </w:hyperlink>
      <w:r>
        <w:rPr>
          <w:color w:val="000000"/>
        </w:rPr>
        <w:t xml:space="preserve">ального закона </w:t>
      </w:r>
      <w:r>
        <w:rPr/>
        <w:t>от 31 июля 2020 года</w:t>
      </w:r>
      <w:r>
        <w:rPr>
          <w:color w:val="000000"/>
        </w:rPr>
        <w:t xml:space="preserve"> № 248-ФЗ и которая для микропредприятия не может продолжаться более сорока часов.</w:t>
      </w:r>
    </w:p>
    <w:p>
      <w:pPr>
        <w:pStyle w:val="11"/>
        <w:ind w:firstLine="720" w:left="0" w:right="0"/>
        <w:jc w:val="both"/>
        <w:rPr>
          <w:color w:val="000000"/>
        </w:rPr>
      </w:pPr>
      <w:r>
        <w:rPr>
          <w:color w:val="000000"/>
        </w:rPr>
        <w:t>5.27. Действие требований, установленных пунктом 5.26 настоящего положения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от 24 июля 2007 года №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настоящего пункта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p>
    <w:p>
      <w:pPr>
        <w:pStyle w:val="11"/>
        <w:ind w:firstLine="720" w:left="0" w:right="0"/>
        <w:jc w:val="both"/>
        <w:rPr>
          <w:color w:val="000000"/>
        </w:rPr>
      </w:pPr>
      <w:r>
        <w:rPr>
          <w:color w:val="000000"/>
        </w:rPr>
        <w:t>5.28. Внеплановая выездная проверка может проводиться только по согласованию с органами прокуратуры, за исключением случаев, предусмотренных Федеральным</w:t>
      </w:r>
      <w:hyperlink r:id="rId16" w:tooltip="https://login.consultant.ru/link/?req=doc&amp;base=LAW&amp;n=465728">
        <w:r>
          <w:rPr>
            <w:rStyle w:val="Style"/>
            <w:color w:val="000000"/>
          </w:rPr>
          <w:t xml:space="preserve"> законом </w:t>
        </w:r>
        <w:r>
          <w:rPr>
            <w:rStyle w:val="Style"/>
          </w:rPr>
          <w:t>от 31 июля 2020 года</w:t>
        </w:r>
        <w:r>
          <w:rPr>
            <w:rStyle w:val="Style"/>
            <w:color w:val="000000"/>
          </w:rPr>
          <w:t xml:space="preserve"> №</w:t>
        </w:r>
      </w:hyperlink>
      <w:r>
        <w:rPr>
          <w:color w:val="000000"/>
        </w:rPr>
        <w:t xml:space="preserve"> 248-ФЗ.</w:t>
      </w:r>
    </w:p>
    <w:p>
      <w:pPr>
        <w:pStyle w:val="11"/>
        <w:ind w:firstLine="720" w:left="0" w:right="0"/>
        <w:jc w:val="both"/>
        <w:rPr>
          <w:color w:val="000000"/>
        </w:rPr>
      </w:pPr>
      <w:r>
        <w:rPr>
          <w:color w:val="000000"/>
        </w:rPr>
        <w:t>5.29. Выбор между проведением таких контрольных мероприятий как выездная проверка или рейдовый осмотр осуществляется исходя из количества пользователей земельного участка: в случае наличия на земельном участке одного пользователя проводится выездная проверка, если несколько пользователей - рейдовый осмотр.</w:t>
      </w:r>
    </w:p>
    <w:p>
      <w:pPr>
        <w:pStyle w:val="11"/>
        <w:ind w:firstLine="720" w:left="0" w:right="0"/>
        <w:jc w:val="both"/>
        <w:rPr>
          <w:color w:val="000000"/>
        </w:rPr>
      </w:pPr>
      <w:r>
        <w:rPr>
          <w:color w:val="000000"/>
        </w:rPr>
        <w:t>5.30. 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контрольного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мероприятия, предусматривающего взаимодействие с контролируемым лицом, в порядке, предусмотренном</w:t>
      </w:r>
      <w:hyperlink r:id="rId17" w:tooltip="https://login.consultant.ru/link/?req=doc&amp;base=LAW&amp;n=465728&amp;dst=101127">
        <w:r>
          <w:rPr>
            <w:rStyle w:val="Style"/>
            <w:color w:val="000000"/>
          </w:rPr>
          <w:t xml:space="preserve"> частями 4 и</w:t>
        </w:r>
      </w:hyperlink>
      <w:hyperlink r:id="rId18" w:tooltip="https://login.consultant.ru/link/?req=doc&amp;base=LAW&amp;n=465728&amp;dst=101128">
        <w:r>
          <w:rPr>
            <w:rStyle w:val="Style"/>
            <w:color w:val="000000"/>
          </w:rPr>
          <w:t xml:space="preserve"> 5 статьи 21 Фе</w:t>
        </w:r>
      </w:hyperlink>
      <w:r>
        <w:rPr>
          <w:color w:val="000000"/>
        </w:rPr>
        <w:t xml:space="preserve">дерального закона                               </w:t>
      </w:r>
      <w:r>
        <w:rPr/>
        <w:t>от 31 июля 2020 года</w:t>
      </w:r>
      <w:r>
        <w:rPr>
          <w:color w:val="000000"/>
        </w:rPr>
        <w:t xml:space="preserve"> № 248-ФЗ. В этом случае Инспектор вправе совершить контрольные действия в рамках указанного контрольного мероприятия в любое время до завершения проведения контрольного мероприятия, предусматривающего взаимодействие с контролируемым лицом.</w:t>
      </w:r>
    </w:p>
    <w:p>
      <w:pPr>
        <w:pStyle w:val="11"/>
        <w:ind w:firstLine="720" w:left="0" w:right="0"/>
        <w:jc w:val="both"/>
        <w:rPr>
          <w:color w:val="000000"/>
        </w:rPr>
      </w:pPr>
      <w:r>
        <w:rPr>
          <w:color w:val="000000"/>
        </w:rPr>
        <w:t>5.31. В случае, указанном в пункте 5.30 настоящего Положения, руководитель Контрольного органа вправе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органами прокуратуры.</w:t>
      </w:r>
    </w:p>
    <w:p>
      <w:pPr>
        <w:pStyle w:val="11"/>
        <w:ind w:firstLine="720" w:left="0" w:right="0"/>
        <w:jc w:val="both"/>
        <w:rPr>
          <w:color w:val="000000"/>
        </w:rPr>
      </w:pPr>
      <w:r>
        <w:rPr>
          <w:color w:val="000000"/>
        </w:rPr>
        <w:t>5.32. К случаю, при наступлении которого контролируемое лицо вправе представить в Контрольный орган информацию о невозможности присутствия при проведении контрольного мероприятия, в связи с чем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контролируемого лица в Контрольный орган (но не более чем на 20 календарных дней), относится соблюдение одновременно следующих условий:</w:t>
      </w:r>
    </w:p>
    <w:p>
      <w:pPr>
        <w:pStyle w:val="11"/>
        <w:ind w:firstLine="720" w:left="0" w:right="0"/>
        <w:jc w:val="both"/>
        <w:rPr>
          <w:color w:val="000000"/>
        </w:rPr>
      </w:pPr>
      <w:r>
        <w:rPr>
          <w:color w:val="000000"/>
        </w:rPr>
        <w:t>- отсутствие признаков явной непосредственной угрозы причинения или фактического причинения вреда (ущерба) охраняемым законом ценностям;</w:t>
      </w:r>
    </w:p>
    <w:p>
      <w:pPr>
        <w:pStyle w:val="11"/>
        <w:ind w:firstLine="720" w:left="0" w:right="0"/>
        <w:jc w:val="both"/>
        <w:rPr>
          <w:color w:val="000000"/>
        </w:rPr>
      </w:pPr>
      <w:r>
        <w:rPr>
          <w:color w:val="000000"/>
        </w:rPr>
        <w:t>- имеются уважительные причины для отсутствия контролируемого лица (болезнь контролируемого лица, его командировка и т.п.) при проведении контрольного мероприятия.</w:t>
      </w:r>
    </w:p>
    <w:p>
      <w:pPr>
        <w:pStyle w:val="11"/>
        <w:ind w:firstLine="720" w:left="0" w:right="0"/>
        <w:jc w:val="both"/>
        <w:rPr>
          <w:color w:val="000000"/>
        </w:rPr>
      </w:pPr>
      <w:r>
        <w:rPr>
          <w:color w:val="000000"/>
        </w:rPr>
        <w:t>Отсутствие контролируемого лица либо его представителя не препятствует оценке Инспектором 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w:t>
      </w:r>
    </w:p>
    <w:p>
      <w:pPr>
        <w:pStyle w:val="11"/>
        <w:ind w:firstLine="720" w:left="0" w:right="0"/>
        <w:jc w:val="both"/>
        <w:rPr>
          <w:color w:val="000000"/>
        </w:rPr>
      </w:pPr>
      <w:r>
        <w:rPr>
          <w:color w:val="000000"/>
        </w:rPr>
        <w:t xml:space="preserve">5.33. По окончании проведения контрольного мероприятия, предусматривающего взаимодействие с контролируемым лицом, составляется </w:t>
      </w:r>
      <w:hyperlink r:id="rId19" w:tooltip="https://login.consultant.ru/link/?req=doc&amp;base=LAW&amp;n=403777&amp;dst=100406">
        <w:r>
          <w:rPr>
            <w:rStyle w:val="Style"/>
            <w:color w:val="000000"/>
          </w:rPr>
          <w:t xml:space="preserve">акт </w:t>
        </w:r>
      </w:hyperlink>
      <w:r>
        <w:rPr>
          <w:color w:val="000000"/>
        </w:rPr>
        <w:t>контрольного мероприятия по форме, утвержденной Приказом Минэкономразвития России от 31 марта 2021 года № 151                          «О типовых формах документов, используемых контрольным (надзорным) органом».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w:t>
      </w:r>
    </w:p>
    <w:p>
      <w:pPr>
        <w:pStyle w:val="11"/>
        <w:ind w:firstLine="720" w:left="0" w:right="0"/>
        <w:jc w:val="both"/>
        <w:rPr>
          <w:color w:val="000000"/>
        </w:rPr>
      </w:pPr>
      <w:r>
        <w:rPr>
          <w:color w:val="000000"/>
        </w:rPr>
        <w:t>5.34. 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pPr>
        <w:pStyle w:val="11"/>
        <w:ind w:firstLine="720" w:left="0" w:right="0"/>
        <w:jc w:val="both"/>
        <w:rPr>
          <w:color w:val="000000"/>
        </w:rPr>
      </w:pPr>
      <w:r>
        <w:rPr>
          <w:color w:val="000000"/>
        </w:rPr>
        <w:t>5.35. При отказе или невозможности подписания контролируемым лицом или его представителем акта по итогам проведения контрольного мероприятия в акте делается соответствующая отметка.</w:t>
      </w:r>
    </w:p>
    <w:p>
      <w:pPr>
        <w:pStyle w:val="11"/>
        <w:ind w:firstLine="720" w:left="0" w:right="0"/>
        <w:jc w:val="both"/>
        <w:rPr>
          <w:color w:val="000000"/>
        </w:rPr>
      </w:pPr>
      <w:r>
        <w:rPr>
          <w:color w:val="000000"/>
        </w:rPr>
        <w:t>5.36. 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pPr>
        <w:pStyle w:val="11"/>
        <w:ind w:firstLine="720" w:left="0" w:right="0"/>
        <w:jc w:val="both"/>
        <w:rPr>
          <w:color w:val="000000"/>
        </w:rPr>
      </w:pPr>
      <w:r>
        <w:rPr>
          <w:color w:val="000000"/>
        </w:rPr>
        <w:t>5.37. Информация о контрольных мероприятиях размещается в едином реестре контрольных (надзорных) мероприятий.</w:t>
      </w:r>
    </w:p>
    <w:p>
      <w:pPr>
        <w:pStyle w:val="11"/>
        <w:ind w:firstLine="720" w:left="0" w:right="0"/>
        <w:jc w:val="both"/>
        <w:rPr>
          <w:color w:val="000000"/>
        </w:rPr>
      </w:pPr>
      <w:r>
        <w:rPr>
          <w:color w:val="000000"/>
        </w:rPr>
        <w:t>5.38. В случае проведения контрольных (надзорных) мероприятий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или в иных случаях, установленных Федеральным законом, акт направляется в порядке, установленном статьей 21 Федерального закона.</w:t>
      </w:r>
    </w:p>
    <w:p>
      <w:pPr>
        <w:pStyle w:val="11"/>
        <w:ind w:firstLine="720" w:left="0" w:right="0"/>
        <w:jc w:val="both"/>
        <w:rPr>
          <w:color w:val="000000"/>
        </w:rPr>
      </w:pPr>
      <w:r>
        <w:rPr>
          <w:color w:val="000000"/>
        </w:rPr>
        <w:t>5.39. Наблюдение за соблюдением обязательных требований осуществляется посредством сбора, анализа имеющихся данных о землях, земельных участках и их частях, в том числе данных, которые поступают в ходе межведомственного информационного взаимодействия, предоставляются в рамках исполнения обязательных требований, а также данных, содержащихся в государственных, муниципальных и ведомственных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видеозаписи.</w:t>
      </w:r>
    </w:p>
    <w:p>
      <w:pPr>
        <w:pStyle w:val="11"/>
        <w:ind w:firstLine="720" w:left="0" w:right="0"/>
        <w:jc w:val="both"/>
        <w:rPr>
          <w:color w:val="000000"/>
        </w:rPr>
      </w:pPr>
      <w:r>
        <w:rPr>
          <w:color w:val="000000"/>
        </w:rPr>
        <w:t>При наблюдении за соблюдением обязательных требований на контролируемых лиц не могут возлагаться обязанности, не установленные обязательными требованиями.</w:t>
      </w:r>
    </w:p>
    <w:p>
      <w:pPr>
        <w:pStyle w:val="11"/>
        <w:ind w:firstLine="720" w:left="0" w:right="0"/>
        <w:jc w:val="both"/>
        <w:rPr>
          <w:color w:val="000000"/>
        </w:rPr>
      </w:pPr>
      <w:r>
        <w:rPr>
          <w:color w:val="000000"/>
        </w:rPr>
        <w:t>5.40. Выездное обследование проводится в целях оценки соблюдения контролируемыми лицами обязательных требований.</w:t>
      </w:r>
    </w:p>
    <w:p>
      <w:pPr>
        <w:pStyle w:val="11"/>
        <w:ind w:firstLine="720" w:left="0" w:right="0"/>
        <w:jc w:val="both"/>
        <w:rPr>
          <w:color w:val="000000"/>
        </w:rPr>
      </w:pPr>
      <w:r>
        <w:rPr>
          <w:color w:val="000000"/>
        </w:rPr>
        <w:t>5.41.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pPr>
        <w:pStyle w:val="11"/>
        <w:ind w:firstLine="720" w:left="0" w:right="0"/>
        <w:jc w:val="both"/>
        <w:rPr>
          <w:color w:val="000000"/>
        </w:rPr>
      </w:pPr>
      <w:r>
        <w:rPr>
          <w:color w:val="000000"/>
        </w:rPr>
        <w:t>При проведении выездного обследования в целях оценки соблюдения контролируемыми лицами обязательных требований в отношении земельных участков, расположенных на территории Ровеньского муниципального округа, должностные лица контрольного органа вправе использовать беспилотные авиационные системы (беспилотные воздушные суда) в порядке, установленном законодательством Российской Федерации.</w:t>
      </w:r>
    </w:p>
    <w:p>
      <w:pPr>
        <w:pStyle w:val="11"/>
        <w:ind w:firstLine="720" w:left="0" w:right="0"/>
        <w:jc w:val="both"/>
        <w:rPr>
          <w:color w:val="000000"/>
        </w:rPr>
      </w:pPr>
      <w:r>
        <w:rPr>
          <w:color w:val="000000"/>
        </w:rPr>
        <w:t xml:space="preserve">5.42. К результатам контрольных мероприятий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w:t>
      </w:r>
      <w:hyperlink r:id="rId20" w:tooltip="https://login.consultant.ru/link/?req=doc&amp;base=LAW&amp;n=465728&amp;dst=100998">
        <w:r>
          <w:rPr>
            <w:rStyle w:val="Style"/>
            <w:color w:val="000000"/>
          </w:rPr>
          <w:t>частью 2</w:t>
        </w:r>
      </w:hyperlink>
      <w:r>
        <w:rPr>
          <w:color w:val="000000"/>
        </w:rPr>
        <w:t xml:space="preserve"> </w:t>
      </w:r>
      <w:hyperlink r:id="rId21" w:tooltip="https://login.consultant.ru/link/?req=doc&amp;base=LAW&amp;n=465728&amp;dst=100998">
        <w:r>
          <w:rPr>
            <w:rStyle w:val="Style"/>
            <w:color w:val="000000"/>
          </w:rPr>
          <w:t>статьи 90 Ф</w:t>
        </w:r>
      </w:hyperlink>
      <w:r>
        <w:rPr>
          <w:color w:val="000000"/>
        </w:rPr>
        <w:t xml:space="preserve">едерального закона </w:t>
      </w:r>
      <w:r>
        <w:rPr/>
        <w:t>от 31 июля 2020 года</w:t>
      </w:r>
      <w:r>
        <w:rPr>
          <w:color w:val="000000"/>
        </w:rPr>
        <w:t xml:space="preserve"> № 248-ФЗ.</w:t>
      </w:r>
    </w:p>
    <w:p>
      <w:pPr>
        <w:pStyle w:val="11"/>
        <w:ind w:firstLine="720" w:left="0" w:right="0"/>
        <w:jc w:val="both"/>
        <w:rPr>
          <w:color w:val="000000"/>
        </w:rPr>
      </w:pPr>
      <w:r>
        <w:rPr>
          <w:color w:val="000000"/>
        </w:rPr>
        <w:t>5.43. Перечень индикаторов риска нарушения обязательных требований, используемых для определения необходимости проведения внеплановых проверок при осуществлении муниципального земельного контроля, утверждается настоящим решением Совета депутатов Ровеньского муниципального округа Белгородской области (Приложение № 2) и размещается на официальном сайте органов местного самоуправления Ровеньского муниципального округа Белгородской области в сети «Интернет», а так же в едином реестре видов контроля.</w:t>
      </w:r>
    </w:p>
    <w:p>
      <w:pPr>
        <w:pStyle w:val="11"/>
        <w:ind w:firstLine="720" w:left="0" w:right="0"/>
        <w:jc w:val="both"/>
        <w:rPr>
          <w:color w:val="000000"/>
        </w:rPr>
      </w:pPr>
      <w:r>
        <w:rPr>
          <w:color w:val="000000"/>
        </w:rPr>
        <w:t>5.44. Во всех случаях проведения контрольных мероприятий для фиксации Инспектором и лицами, привлекаемыми к совершению контрольных действий, доказательств нарушения обязательных требований могут использоваться фотосъемка и/или аудио- и видеозапись, геодезические и картометрические измерения, проводимые Инспекторами.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pPr>
        <w:pStyle w:val="11"/>
        <w:ind w:firstLine="720" w:left="0" w:right="0"/>
        <w:jc w:val="both"/>
        <w:rPr>
          <w:color w:val="000000"/>
        </w:rPr>
      </w:pPr>
      <w:r>
        <w:rPr>
          <w:color w:val="000000"/>
        </w:rPr>
        <w:t>5.45. Информирование контролируемых лиц о совершаемых Инспектором действиях и принимаемых решениях осуществляется в сроки и порядке, установленные Федеральным</w:t>
      </w:r>
      <w:hyperlink r:id="rId22" w:tooltip="https://login.consultant.ru/link/?req=doc&amp;base=LAW&amp;n=465728">
        <w:r>
          <w:rPr>
            <w:rStyle w:val="Style"/>
            <w:color w:val="000000"/>
          </w:rPr>
          <w:t xml:space="preserve"> законом </w:t>
        </w:r>
        <w:r>
          <w:rPr>
            <w:rStyle w:val="Style"/>
          </w:rPr>
          <w:t>от 31 июля 2020 года</w:t>
        </w:r>
        <w:r>
          <w:rPr>
            <w:rStyle w:val="Style"/>
            <w:color w:val="000000"/>
          </w:rPr>
          <w:t xml:space="preserve"> №</w:t>
        </w:r>
      </w:hyperlink>
      <w:r>
        <w:rPr>
          <w:color w:val="000000"/>
        </w:rPr>
        <w:t xml:space="preserve"> 248-ФЗ, посредством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pPr>
        <w:pStyle w:val="11"/>
        <w:ind w:firstLine="720" w:left="0" w:right="0"/>
        <w:jc w:val="both"/>
        <w:rPr>
          <w:color w:val="000000"/>
        </w:rPr>
      </w:pPr>
      <w:r>
        <w:rPr>
          <w:color w:val="000000"/>
        </w:rPr>
        <w:t>5.46.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органа действиях и принимаемых решениях путем направления ему документов на бумажном носителе в случае направления им в адрес Контрольного органа уведомления о необходимости получения документов на бумажном носителе либо отсутствия у Контрольного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пределах полномочий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в адрес Контрольного органа документы на бумажном носителе.</w:t>
      </w:r>
    </w:p>
    <w:p>
      <w:pPr>
        <w:pStyle w:val="11"/>
        <w:ind w:firstLine="720" w:left="0" w:right="0"/>
        <w:jc w:val="both"/>
        <w:rPr>
          <w:color w:val="000000"/>
        </w:rPr>
      </w:pPr>
      <w:r>
        <w:rPr>
          <w:color w:val="000000"/>
        </w:rPr>
        <w:t>5.47.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pPr>
        <w:pStyle w:val="11"/>
        <w:ind w:firstLine="720" w:left="0" w:right="0"/>
        <w:jc w:val="both"/>
        <w:rPr>
          <w:color w:val="000000"/>
        </w:rPr>
      </w:pPr>
      <w:r>
        <w:rPr>
          <w:color w:val="000000"/>
        </w:rPr>
        <w:t xml:space="preserve">5.48. В случае выявления при проведении контрольного мероприятия нарушений обязательных требований контролируемым лицом Контрольный орган принимает меры, предусмотренные статьей 90 Федерального закона  </w:t>
      </w:r>
      <w:r>
        <w:rPr/>
        <w:t>от 31 июля 2020 года</w:t>
      </w:r>
      <w:r>
        <w:rPr>
          <w:color w:val="000000"/>
        </w:rPr>
        <w:t xml:space="preserve"> № 248-ФЗ. При этом срок исполнения предписания об устранении выявленного нарушения обязательных требований не может составлять менее десяти рабочих дней со дня его вынесения.</w:t>
      </w:r>
    </w:p>
    <w:p>
      <w:pPr>
        <w:pStyle w:val="11"/>
        <w:ind w:firstLine="720" w:left="0" w:right="0"/>
        <w:jc w:val="both"/>
        <w:rPr>
          <w:color w:val="000000"/>
        </w:rPr>
      </w:pPr>
      <w:r>
        <w:rPr>
          <w:color w:val="000000"/>
        </w:rPr>
        <w:t>5.49. Инспекторы при осуществлении муниципального земельного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Белгородской области, органами местного самоуправления, правоохранительными органами, организациями и гражданами.</w:t>
      </w:r>
    </w:p>
    <w:p>
      <w:pPr>
        <w:pStyle w:val="11"/>
        <w:ind w:firstLine="720" w:left="0" w:right="0"/>
        <w:jc w:val="both"/>
        <w:rPr>
          <w:color w:val="000000"/>
        </w:rPr>
      </w:pPr>
      <w:r>
        <w:rPr>
          <w:color w:val="000000"/>
        </w:rPr>
        <w:t>5.50. В случае выявления в ходе проведения контрольного мероприятия в рамках осуществления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Инспекторы направляют копию указанного акта в орган государственного земельного надзора.</w:t>
      </w:r>
    </w:p>
    <w:p>
      <w:pPr>
        <w:pStyle w:val="11"/>
        <w:ind w:firstLine="720" w:left="0" w:right="0"/>
        <w:jc w:val="both"/>
        <w:rPr>
          <w:color w:val="000000"/>
        </w:rPr>
      </w:pPr>
      <w:r>
        <w:rPr>
          <w:color w:val="000000"/>
        </w:rPr>
        <w:t>5.51. Срок исполнения предписания об устранении выявленного нарушения обязательных требований может быть продлен Контрольным органом однократно по мотивированному ходатайству контролируемого лица в случае, если устранение нарушения требует значительных временных затрат и не может быть завершено в первоначально установленный срок.</w:t>
      </w:r>
    </w:p>
    <w:p>
      <w:pPr>
        <w:pStyle w:val="11"/>
        <w:ind w:firstLine="720" w:left="0" w:right="0"/>
        <w:jc w:val="both"/>
        <w:rPr>
          <w:color w:val="000000"/>
        </w:rPr>
      </w:pPr>
      <w:r>
        <w:rPr>
          <w:color w:val="000000"/>
        </w:rPr>
        <w:t>5.52. Ходатайство о продлении срока исполнения предписания подается контролируемым лицом не позднее чем за 10 рабочих дней до истечения срока исполнения предписания. В ходатайстве должны быть указаны обстоятельства, препятствующие своевременному исполнению предписания, перечень уже принятых мер по устранению нарушения, предполагаемый срок завершения таких мер, а также приложены документы (при наличии), подтверждающие изложенные доводы.</w:t>
      </w:r>
    </w:p>
    <w:p>
      <w:pPr>
        <w:pStyle w:val="11"/>
        <w:ind w:firstLine="720" w:left="0" w:right="0"/>
        <w:jc w:val="both"/>
        <w:rPr>
          <w:color w:val="000000"/>
        </w:rPr>
      </w:pPr>
      <w:r>
        <w:rPr>
          <w:color w:val="000000"/>
        </w:rPr>
        <w:t>5.53. Контрольный орган рассматривает поступившее ходатайство в срок, не превышающий 10 рабочих дней со дня его регистрации, и принимает решение о продлении срока исполнения предписания либо об отказе в продлении. Срок исполнения предписания может быть продлен на период не более 6 месяцев. Решение об отказе в продлении должно быть мотивированным.</w:t>
      </w:r>
    </w:p>
    <w:p>
      <w:pPr>
        <w:pStyle w:val="11"/>
        <w:ind w:firstLine="720" w:left="0" w:right="0"/>
        <w:jc w:val="both"/>
        <w:rPr>
          <w:color w:val="000000"/>
        </w:rPr>
      </w:pPr>
      <w:r>
        <w:rPr>
          <w:color w:val="000000"/>
        </w:rPr>
        <w:t xml:space="preserve">5.54. О принятом решении контролируемое лицо уведомляется не позднее одного рабочего дня со дня его принятия в порядке, установленном частью 4 статьи 21 Федерального закона </w:t>
      </w:r>
      <w:r>
        <w:rPr/>
        <w:t>от 31 июля 2020 года</w:t>
      </w:r>
      <w:r>
        <w:rPr>
          <w:color w:val="000000"/>
        </w:rPr>
        <w:t xml:space="preserve"> № 248-ФЗ.</w:t>
      </w:r>
    </w:p>
    <w:p>
      <w:pPr>
        <w:pStyle w:val="ConsPlusNormal"/>
        <w:jc w:val="both"/>
        <w:rPr>
          <w:sz w:val="28"/>
          <w:szCs w:val="28"/>
        </w:rPr>
      </w:pPr>
      <w:r>
        <w:rPr>
          <w:sz w:val="28"/>
          <w:szCs w:val="28"/>
        </w:rPr>
      </w:r>
    </w:p>
    <w:p>
      <w:pPr>
        <w:pStyle w:val="ListParagraph"/>
        <w:ind w:left="0"/>
        <w:jc w:val="center"/>
        <w:rPr>
          <w:rFonts w:ascii="Times New Roman" w:hAnsi="Times New Roman"/>
          <w:sz w:val="28"/>
          <w:szCs w:val="28"/>
        </w:rPr>
      </w:pPr>
      <w:r>
        <w:rPr>
          <w:b/>
          <w:sz w:val="28"/>
          <w:szCs w:val="28"/>
        </w:rPr>
        <w:t xml:space="preserve">6. Обжалование решений контрольных органов, </w:t>
      </w:r>
    </w:p>
    <w:p>
      <w:pPr>
        <w:pStyle w:val="ListParagraph"/>
        <w:ind w:left="0"/>
        <w:jc w:val="center"/>
        <w:rPr>
          <w:rFonts w:ascii="Times New Roman" w:hAnsi="Times New Roman"/>
          <w:b/>
          <w:sz w:val="28"/>
          <w:szCs w:val="28"/>
          <w:highlight w:val="none"/>
        </w:rPr>
      </w:pPr>
      <w:r>
        <w:rPr>
          <w:b/>
          <w:sz w:val="28"/>
          <w:szCs w:val="28"/>
        </w:rPr>
        <w:t>действий (бездействия) их должностных лиц</w:t>
      </w:r>
    </w:p>
    <w:p>
      <w:pPr>
        <w:pStyle w:val="ListParagraph"/>
        <w:ind w:left="0"/>
        <w:jc w:val="center"/>
        <w:rPr>
          <w:rFonts w:ascii="Times New Roman" w:hAnsi="Times New Roman"/>
          <w:b/>
          <w:sz w:val="28"/>
          <w:szCs w:val="28"/>
        </w:rPr>
      </w:pPr>
      <w:r>
        <w:rPr>
          <w:b/>
          <w:sz w:val="28"/>
          <w:szCs w:val="28"/>
        </w:rPr>
      </w:r>
    </w:p>
    <w:p>
      <w:pPr>
        <w:pStyle w:val="ListParagraph"/>
        <w:tabs>
          <w:tab w:val="clear" w:pos="709"/>
          <w:tab w:val="left" w:pos="1134" w:leader="none"/>
        </w:tabs>
        <w:ind w:firstLine="737" w:left="0"/>
        <w:jc w:val="both"/>
        <w:rPr/>
      </w:pPr>
      <w:r>
        <w:rPr>
          <w:color w:val="00000A"/>
          <w:sz w:val="28"/>
          <w:szCs w:val="28"/>
        </w:rPr>
        <w:t>6.1. Решения контрольного органа, действий (бездействия) должностных лиц, осуществляющих муниципальный контроль, могут быть обжалованы в порядке, установленном законодательством Российской Федерации.</w:t>
      </w:r>
    </w:p>
    <w:p>
      <w:pPr>
        <w:pStyle w:val="ConsPlusNormal"/>
        <w:ind w:firstLine="794"/>
        <w:jc w:val="both"/>
        <w:rPr/>
      </w:pPr>
      <w:r>
        <w:rPr>
          <w:color w:val="00000A"/>
          <w:sz w:val="28"/>
          <w:szCs w:val="28"/>
        </w:rPr>
        <w:t xml:space="preserve">6.2. Досудебное обжалование решений контрольного органа, действий (бездействия) должностных лиц контрольного органа осуществляется в соответствии с главой 9 Федерального закона от 31 июля 2020 года                         </w:t>
      </w:r>
      <w:r>
        <w:rPr>
          <w:rFonts w:cs="Segoe UI Symbol"/>
          <w:color w:val="00000A"/>
          <w:sz w:val="28"/>
          <w:szCs w:val="28"/>
        </w:rPr>
        <w:t>№</w:t>
      </w:r>
      <w:r>
        <w:rPr>
          <w:color w:val="00000A"/>
          <w:sz w:val="28"/>
          <w:szCs w:val="28"/>
        </w:rPr>
        <w:t xml:space="preserve"> 248-ФЗ.</w:t>
      </w:r>
    </w:p>
    <w:p>
      <w:pPr>
        <w:pStyle w:val="ConsPlusNormal"/>
        <w:ind w:firstLine="794"/>
        <w:jc w:val="both"/>
        <w:rPr>
          <w:color w:val="00000A"/>
          <w:sz w:val="28"/>
          <w:szCs w:val="28"/>
        </w:rPr>
      </w:pPr>
      <w:r>
        <w:rPr>
          <w:color w:val="00000A"/>
          <w:sz w:val="28"/>
          <w:szCs w:val="28"/>
        </w:rPr>
        <w:t xml:space="preserve"> </w:t>
      </w:r>
      <w:r>
        <w:rPr>
          <w:color w:val="00000A"/>
          <w:sz w:val="28"/>
          <w:szCs w:val="28"/>
        </w:rPr>
        <w:t xml:space="preserve">В досудебном порядке со стороны контролируемых лиц, права и законные интересы которых, по их мнению, были нарушены, обжалованию подлежат: </w:t>
      </w:r>
    </w:p>
    <w:p>
      <w:pPr>
        <w:pStyle w:val="ConsPlusNormal"/>
        <w:ind w:firstLine="794"/>
        <w:jc w:val="both"/>
        <w:rPr>
          <w:color w:val="00000A"/>
          <w:sz w:val="28"/>
          <w:szCs w:val="28"/>
        </w:rPr>
      </w:pPr>
      <w:r>
        <w:rPr>
          <w:color w:val="00000A"/>
          <w:sz w:val="28"/>
          <w:szCs w:val="28"/>
        </w:rPr>
        <w:t xml:space="preserve">- решения о проведении контрольных мероприятий и профилактических визитов; </w:t>
      </w:r>
    </w:p>
    <w:p>
      <w:pPr>
        <w:pStyle w:val="ConsPlusNormal"/>
        <w:ind w:firstLine="794"/>
        <w:jc w:val="both"/>
        <w:rPr>
          <w:color w:val="00000A"/>
          <w:sz w:val="28"/>
          <w:szCs w:val="28"/>
        </w:rPr>
      </w:pPr>
      <w:r>
        <w:rPr>
          <w:color w:val="00000A"/>
          <w:sz w:val="28"/>
          <w:szCs w:val="28"/>
        </w:rPr>
        <w:t>- актов контрольных мероприятий и обязательных профилактических визитов, предписаний об устранении выявленных нарушений;</w:t>
      </w:r>
    </w:p>
    <w:p>
      <w:pPr>
        <w:pStyle w:val="ConsPlusNormal"/>
        <w:ind w:firstLine="794"/>
        <w:jc w:val="both"/>
        <w:rPr>
          <w:color w:val="00000A"/>
          <w:sz w:val="28"/>
          <w:szCs w:val="28"/>
        </w:rPr>
      </w:pPr>
      <w:r>
        <w:rPr>
          <w:color w:val="00000A"/>
          <w:sz w:val="28"/>
          <w:szCs w:val="28"/>
        </w:rPr>
        <w:t>- действия (бездействия) должностных лиц контрольного органа в рамках контрольных мероприятий и обязательных профилактических визитов;</w:t>
      </w:r>
    </w:p>
    <w:p>
      <w:pPr>
        <w:pStyle w:val="ConsPlusNormal"/>
        <w:ind w:firstLine="794"/>
        <w:jc w:val="both"/>
        <w:rPr>
          <w:color w:val="00000A"/>
          <w:sz w:val="28"/>
          <w:szCs w:val="28"/>
        </w:rPr>
      </w:pPr>
      <w:r>
        <w:rPr>
          <w:color w:val="00000A"/>
          <w:sz w:val="28"/>
          <w:szCs w:val="28"/>
        </w:rPr>
        <w:t>- решений об отнесении объектов контроля к соответствующей категории риска;</w:t>
      </w:r>
    </w:p>
    <w:p>
      <w:pPr>
        <w:pStyle w:val="ConsPlusNormal"/>
        <w:ind w:firstLine="794"/>
        <w:jc w:val="both"/>
        <w:rPr>
          <w:color w:val="00000A"/>
          <w:sz w:val="28"/>
          <w:szCs w:val="28"/>
        </w:rPr>
      </w:pPr>
      <w:r>
        <w:rPr>
          <w:color w:val="00000A"/>
          <w:sz w:val="28"/>
          <w:szCs w:val="28"/>
        </w:rPr>
        <w:t>- решений об отказе в проведении обязательных профилактических визитов по заявлениям контролируемых лиц;</w:t>
      </w:r>
    </w:p>
    <w:p>
      <w:pPr>
        <w:pStyle w:val="ConsPlusNormal"/>
        <w:ind w:firstLine="794"/>
        <w:jc w:val="both"/>
        <w:rPr>
          <w:color w:val="00000A"/>
          <w:sz w:val="28"/>
          <w:szCs w:val="28"/>
        </w:rPr>
      </w:pPr>
      <w:r>
        <w:rPr>
          <w:color w:val="00000A"/>
          <w:sz w:val="28"/>
          <w:szCs w:val="28"/>
        </w:rPr>
        <w:t>- иных решений, принимаемых контрольными органами по итогам профилактических и (или) контрольных мероприятий, предусмотренных настоящим Федеральным законом, в отношении контролируемых лиц или объектов контроля.</w:t>
      </w:r>
    </w:p>
    <w:p>
      <w:pPr>
        <w:pStyle w:val="ConsPlusNormal"/>
        <w:ind w:firstLine="794"/>
        <w:jc w:val="both"/>
        <w:rPr>
          <w:color w:val="00000A"/>
          <w:sz w:val="28"/>
          <w:szCs w:val="28"/>
        </w:rPr>
      </w:pPr>
      <w:r>
        <w:rPr>
          <w:color w:val="00000A"/>
          <w:sz w:val="28"/>
          <w:szCs w:val="28"/>
        </w:rPr>
        <w:t>6.3. Жалоба подается контролируемым лицом в контрольный орган в электронном виде с использованием Единого портала государственных и муниципальных услуг (функций), за исключением случая, предусмотренного частью 1.1 статьи 40 Федерального закона от 31 июля 2020 года № 248-ФЗ.</w:t>
      </w:r>
    </w:p>
    <w:p>
      <w:pPr>
        <w:pStyle w:val="ConsPlusNormal"/>
        <w:ind w:firstLine="794"/>
        <w:jc w:val="both"/>
        <w:rPr>
          <w:color w:val="00000A"/>
          <w:sz w:val="28"/>
          <w:szCs w:val="28"/>
        </w:rPr>
      </w:pPr>
      <w:r>
        <w:rPr>
          <w:color w:val="00000A"/>
          <w:sz w:val="28"/>
          <w:szCs w:val="28"/>
        </w:rPr>
        <w:t>6.4.</w:t>
      </w:r>
      <w:r>
        <w:rPr/>
        <w:t xml:space="preserve"> </w:t>
      </w:r>
      <w:r>
        <w:rPr>
          <w:color w:val="00000A"/>
          <w:sz w:val="28"/>
          <w:szCs w:val="28"/>
        </w:rPr>
        <w:t>В соответствии с пунктом 11 (2) Постановления Правительства Российской Федерации от 10 марта 2022 года № 336 «Об особенностях организации и осуществления государственного контроля (надзора), муниципального контроля» жалоба на решение контрольного органа, действия (бездействие) его должностных лиц, подаваемая в соответствии с главой 9 Федерального закона «О государственном контроле (надзоре) и муниципальном контроле в Российской Федерации», подписывается усиленной квалифицированной электронной подписью,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или простой электронной подписью физического лица, в том числе действующего от имени юридического лица (руководителя либо лица, которому делегированы соответствующие полномочия, в том числе с использованием федеральной государственной информационной системы «Единый портал государственных и муниципальных услуг (функций)») или являющегося индивидуальным предпринимателем.</w:t>
      </w:r>
    </w:p>
    <w:p>
      <w:pPr>
        <w:pStyle w:val="ConsPlusNormal"/>
        <w:ind w:firstLine="794"/>
        <w:jc w:val="both"/>
        <w:rPr>
          <w:color w:val="00000A"/>
          <w:sz w:val="28"/>
          <w:szCs w:val="28"/>
        </w:rPr>
      </w:pPr>
      <w:r>
        <w:rPr>
          <w:color w:val="00000A"/>
          <w:sz w:val="28"/>
          <w:szCs w:val="28"/>
        </w:rPr>
        <w:t>6.5. Жалоба, содержащая сведения и документы, составляющие государственную или охраняемую законом тайну, подается в соответствии с пунктом 1.1. части 1 статьи  40 Федерального закона от 31 июля 2020 года  № 248-ФЗ.</w:t>
      </w:r>
    </w:p>
    <w:p>
      <w:pPr>
        <w:pStyle w:val="ConsPlusNormal"/>
        <w:ind w:firstLine="794"/>
        <w:jc w:val="both"/>
        <w:rPr>
          <w:color w:val="00000A"/>
          <w:sz w:val="28"/>
          <w:szCs w:val="28"/>
        </w:rPr>
      </w:pPr>
      <w:r>
        <w:rPr>
          <w:color w:val="00000A"/>
          <w:sz w:val="28"/>
          <w:szCs w:val="28"/>
        </w:rPr>
        <w:t xml:space="preserve">6.6. Жалоба, поданная в электронном виде, подписывается в порядке, предусмотренном пунктом 6.5 настоящего Положения. </w:t>
      </w:r>
    </w:p>
    <w:p>
      <w:pPr>
        <w:pStyle w:val="ConsPlusNormal"/>
        <w:ind w:firstLine="794"/>
        <w:jc w:val="both"/>
        <w:rPr>
          <w:color w:val="00000A"/>
          <w:sz w:val="28"/>
          <w:szCs w:val="28"/>
        </w:rPr>
      </w:pPr>
      <w:r>
        <w:rPr>
          <w:color w:val="00000A"/>
          <w:sz w:val="28"/>
          <w:szCs w:val="28"/>
        </w:rPr>
        <w:t>6.7. Материалы, прикладываемые к жалобе, в том числе фото- и видеоматериалы, представляются контролируемым лицом в электронном виде.</w:t>
      </w:r>
    </w:p>
    <w:p>
      <w:pPr>
        <w:pStyle w:val="ConsPlusNormal"/>
        <w:ind w:firstLine="794"/>
        <w:jc w:val="both"/>
        <w:rPr>
          <w:color w:val="00000A"/>
          <w:sz w:val="28"/>
          <w:szCs w:val="28"/>
        </w:rPr>
      </w:pPr>
      <w:r>
        <w:rPr>
          <w:color w:val="00000A"/>
          <w:sz w:val="28"/>
          <w:szCs w:val="28"/>
        </w:rPr>
        <w:t xml:space="preserve">6.8. Жалоба на решение контрольного органа, действий (бездействия) его должностных лиц рассматривается уполномоченным лицом в порядке, установленном главой 9 Федерального закона от 31 июля 2020 года                          № 248-ФЗ и настоящим Положением. </w:t>
      </w:r>
    </w:p>
    <w:p>
      <w:pPr>
        <w:pStyle w:val="ConsPlusNormal"/>
        <w:ind w:firstLine="794"/>
        <w:jc w:val="both"/>
        <w:rPr>
          <w:color w:val="00000A"/>
          <w:sz w:val="28"/>
          <w:szCs w:val="28"/>
        </w:rPr>
      </w:pPr>
      <w:r>
        <w:rPr>
          <w:color w:val="00000A"/>
          <w:sz w:val="28"/>
          <w:szCs w:val="28"/>
        </w:rPr>
        <w:t xml:space="preserve">6.9. Жалоба может быть подана в течение тридцати календарных дней со дня, когда контролируемое лицо узнало или должно было узнать о нарушении своих прав.  Жалоба на предписание контрольного органа может быть подана в течение десяти рабочих дней с момента получения контролируемым лицом предписания.  </w:t>
      </w:r>
    </w:p>
    <w:p>
      <w:pPr>
        <w:pStyle w:val="ConsPlusNormal"/>
        <w:ind w:firstLine="794"/>
        <w:jc w:val="both"/>
        <w:rPr>
          <w:color w:val="00000A"/>
          <w:sz w:val="28"/>
          <w:szCs w:val="28"/>
        </w:rPr>
      </w:pPr>
      <w:r>
        <w:rPr>
          <w:color w:val="00000A"/>
          <w:sz w:val="28"/>
          <w:szCs w:val="28"/>
        </w:rPr>
        <w:t>6.10. В случае пропуска по уважительной причине срока подачи жалобы указанный срок по ходатайству контролируемого лица, подающего жалобу, может быть восстановлен контрольным органом.</w:t>
      </w:r>
    </w:p>
    <w:p>
      <w:pPr>
        <w:pStyle w:val="ConsPlusNormal"/>
        <w:ind w:firstLine="794"/>
        <w:jc w:val="both"/>
        <w:rPr>
          <w:color w:val="00000A"/>
          <w:sz w:val="28"/>
          <w:szCs w:val="28"/>
        </w:rPr>
      </w:pPr>
      <w:r>
        <w:rPr>
          <w:color w:val="00000A"/>
          <w:sz w:val="28"/>
          <w:szCs w:val="28"/>
        </w:rPr>
        <w:t>6.11.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pPr>
        <w:pStyle w:val="ConsPlusNormal"/>
        <w:ind w:firstLine="794"/>
        <w:jc w:val="both"/>
        <w:rPr>
          <w:color w:val="00000A"/>
          <w:sz w:val="28"/>
          <w:szCs w:val="28"/>
        </w:rPr>
      </w:pPr>
      <w:r>
        <w:rPr>
          <w:color w:val="00000A"/>
          <w:sz w:val="28"/>
          <w:szCs w:val="28"/>
        </w:rPr>
        <w:t xml:space="preserve">6.12. Жалоба может содержать ходатайство о приостановлении исполнения обжалуемого решения контрольного органа. При наличии указанного в настоящем пункте ходатайства руководитель контрольного органа не позднее 2 рабочих дней принимает одно из решений, предусмотренных частью 10 статьи 40 Федерального закона                                   от 31 июля 2020 года № 248-ФЗ. </w:t>
      </w:r>
    </w:p>
    <w:p>
      <w:pPr>
        <w:pStyle w:val="ConsPlusNormal"/>
        <w:ind w:firstLine="794"/>
        <w:jc w:val="both"/>
        <w:rPr>
          <w:color w:val="00000A"/>
          <w:sz w:val="28"/>
          <w:szCs w:val="28"/>
        </w:rPr>
      </w:pPr>
      <w:r>
        <w:rPr>
          <w:color w:val="00000A"/>
          <w:sz w:val="28"/>
          <w:szCs w:val="28"/>
        </w:rPr>
        <w:t xml:space="preserve">6.13. В срок не позднее пяти рабочих дней со дня получения жалобы контрольный орган отказывает в рассмотрении жалобы в случаях, установленных частью 1 статьи 42 Федерального закона                                              от 31 июля 2020 года № 248-ФЗ. </w:t>
      </w:r>
    </w:p>
    <w:p>
      <w:pPr>
        <w:pStyle w:val="ConsPlusNormal"/>
        <w:ind w:firstLine="794"/>
        <w:jc w:val="both"/>
        <w:rPr>
          <w:color w:val="00000A"/>
          <w:sz w:val="28"/>
          <w:szCs w:val="28"/>
        </w:rPr>
      </w:pPr>
      <w:r>
        <w:rPr>
          <w:color w:val="00000A"/>
          <w:sz w:val="28"/>
          <w:szCs w:val="28"/>
        </w:rPr>
        <w:t>6.14. Срок информирования и направления контролируемому лицу решения, принятого контрольным органом в соответствии с пунктами 6.12-6.13 Положения составляет один рабочий день.</w:t>
      </w:r>
    </w:p>
    <w:p>
      <w:pPr>
        <w:pStyle w:val="ConsPlusNormal"/>
        <w:ind w:firstLine="794"/>
        <w:jc w:val="both"/>
        <w:rPr>
          <w:color w:val="00000A"/>
          <w:sz w:val="28"/>
          <w:szCs w:val="28"/>
        </w:rPr>
      </w:pPr>
      <w:r>
        <w:rPr>
          <w:color w:val="00000A"/>
          <w:sz w:val="28"/>
          <w:szCs w:val="28"/>
        </w:rPr>
        <w:t xml:space="preserve">6.15. Форма и содержание жалобы, установлены частью 1 статьи 41 Федерального закона от 31 июля 2020 года № 248-ФЗ. </w:t>
      </w:r>
    </w:p>
    <w:p>
      <w:pPr>
        <w:pStyle w:val="ConsPlusNormal"/>
        <w:ind w:firstLine="794"/>
        <w:jc w:val="both"/>
        <w:rPr>
          <w:color w:val="00000A"/>
          <w:sz w:val="28"/>
          <w:szCs w:val="28"/>
        </w:rPr>
      </w:pPr>
      <w:r>
        <w:rPr>
          <w:color w:val="00000A"/>
          <w:sz w:val="28"/>
          <w:szCs w:val="28"/>
        </w:rPr>
        <w:t xml:space="preserve">6.16.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 Срок отказа в рассмотрении жалобы 5 рабочих дней со дня получения жалобы. </w:t>
      </w:r>
    </w:p>
    <w:p>
      <w:pPr>
        <w:pStyle w:val="ConsPlusNormal"/>
        <w:ind w:firstLine="794"/>
        <w:jc w:val="both"/>
        <w:rPr>
          <w:color w:val="00000A"/>
          <w:sz w:val="28"/>
          <w:szCs w:val="28"/>
        </w:rPr>
      </w:pPr>
      <w:r>
        <w:rPr>
          <w:color w:val="00000A"/>
          <w:sz w:val="28"/>
          <w:szCs w:val="28"/>
        </w:rPr>
        <w:t>6.17. При рассмотрении жалобы контрольный орган использует подсистему досудебного обжалования контрольной (надзорной) деятельности в соответствии с Правилами ведения информационной системы досудебного обжалования контрольной (надзорной) деятельности, утвержденными Правительством РФ,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w:t>
      </w:r>
    </w:p>
    <w:p>
      <w:pPr>
        <w:pStyle w:val="ConsPlusNormal"/>
        <w:ind w:firstLine="794"/>
        <w:jc w:val="both"/>
        <w:rPr>
          <w:color w:val="00000A"/>
          <w:sz w:val="28"/>
          <w:szCs w:val="28"/>
        </w:rPr>
      </w:pPr>
      <w:r>
        <w:rPr>
          <w:color w:val="00000A"/>
          <w:sz w:val="28"/>
          <w:szCs w:val="28"/>
        </w:rPr>
        <w:t>6.18. Срок рассмотрения руководителем Контрольного органа жалобы составляет 15 рабочих дней со дня ее регистрации.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pPr>
        <w:pStyle w:val="ConsPlusNormal"/>
        <w:ind w:firstLine="794"/>
        <w:jc w:val="both"/>
        <w:rPr>
          <w:color w:val="00000A"/>
          <w:sz w:val="28"/>
          <w:szCs w:val="28"/>
        </w:rPr>
      </w:pPr>
      <w:r>
        <w:rPr>
          <w:color w:val="00000A"/>
          <w:sz w:val="28"/>
          <w:szCs w:val="28"/>
        </w:rPr>
        <w:t>6.19.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pPr>
        <w:pStyle w:val="ConsPlusNormal"/>
        <w:ind w:firstLine="794"/>
        <w:jc w:val="both"/>
        <w:rPr>
          <w:color w:val="00000A"/>
          <w:sz w:val="28"/>
          <w:szCs w:val="28"/>
        </w:rPr>
      </w:pPr>
      <w:r>
        <w:rPr>
          <w:color w:val="00000A"/>
          <w:sz w:val="28"/>
          <w:szCs w:val="28"/>
        </w:rPr>
        <w:t>6.20.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подведомственным им организаций.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pPr>
        <w:pStyle w:val="ConsPlusNormal"/>
        <w:ind w:firstLine="794"/>
        <w:jc w:val="both"/>
        <w:rPr>
          <w:color w:val="00000A"/>
          <w:sz w:val="28"/>
          <w:szCs w:val="28"/>
        </w:rPr>
      </w:pPr>
      <w:r>
        <w:rPr>
          <w:color w:val="00000A"/>
          <w:sz w:val="28"/>
          <w:szCs w:val="28"/>
        </w:rPr>
        <w:t>6.21.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pPr>
        <w:pStyle w:val="ConsPlusNormal"/>
        <w:ind w:firstLine="794"/>
        <w:jc w:val="both"/>
        <w:rPr>
          <w:color w:val="00000A"/>
          <w:sz w:val="28"/>
          <w:szCs w:val="28"/>
        </w:rPr>
      </w:pPr>
      <w:r>
        <w:rPr>
          <w:color w:val="00000A"/>
          <w:sz w:val="28"/>
          <w:szCs w:val="28"/>
        </w:rPr>
        <w:t xml:space="preserve">6.22. По итогам рассмотрения жалобы руководитель Контрольного органа принимает одно из решений, предусмотренных частью 6 статьи 43 Федерального закона от 31 июля 2020 года № 248-ФЗ. </w:t>
      </w:r>
    </w:p>
    <w:p>
      <w:pPr>
        <w:pStyle w:val="ConsPlusNormal"/>
        <w:ind w:firstLine="794"/>
        <w:jc w:val="both"/>
        <w:rPr>
          <w:color w:val="00000A"/>
          <w:sz w:val="28"/>
          <w:szCs w:val="28"/>
        </w:rPr>
      </w:pPr>
      <w:r>
        <w:rPr>
          <w:color w:val="00000A"/>
          <w:sz w:val="28"/>
          <w:szCs w:val="28"/>
        </w:rPr>
        <w:t>6.23.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(функций) в срок не позднее одного рабочего дня со дня его принятия.</w:t>
      </w:r>
    </w:p>
    <w:p>
      <w:pPr>
        <w:pStyle w:val="ListParagraph"/>
        <w:tabs>
          <w:tab w:val="clear" w:pos="709"/>
          <w:tab w:val="left" w:pos="1134" w:leader="none"/>
        </w:tabs>
        <w:ind w:left="0"/>
        <w:jc w:val="both"/>
        <w:rPr>
          <w:rFonts w:ascii="Times New Roman" w:hAnsi="Times New Roman"/>
          <w:sz w:val="28"/>
          <w:szCs w:val="28"/>
        </w:rPr>
      </w:pPr>
      <w:r>
        <w:rPr>
          <w:sz w:val="28"/>
          <w:szCs w:val="28"/>
        </w:rPr>
      </w:r>
    </w:p>
    <w:p>
      <w:pPr>
        <w:pStyle w:val="ListParagraph"/>
        <w:ind w:left="0"/>
        <w:jc w:val="center"/>
        <w:rPr>
          <w:rFonts w:ascii="Times New Roman" w:hAnsi="Times New Roman"/>
          <w:b/>
          <w:sz w:val="28"/>
          <w:szCs w:val="28"/>
          <w:highlight w:val="none"/>
        </w:rPr>
      </w:pPr>
      <w:r>
        <w:rPr>
          <w:b/>
          <w:sz w:val="28"/>
          <w:szCs w:val="28"/>
        </w:rPr>
        <w:t>7. Заключительные положения</w:t>
      </w:r>
    </w:p>
    <w:p>
      <w:pPr>
        <w:pStyle w:val="ListParagraph"/>
        <w:ind w:left="0"/>
        <w:jc w:val="center"/>
        <w:rPr>
          <w:rFonts w:ascii="Times New Roman" w:hAnsi="Times New Roman"/>
          <w:sz w:val="28"/>
          <w:szCs w:val="28"/>
        </w:rPr>
      </w:pPr>
      <w:r>
        <w:rPr>
          <w:sz w:val="28"/>
          <w:szCs w:val="28"/>
        </w:rPr>
      </w:r>
    </w:p>
    <w:p>
      <w:pPr>
        <w:pStyle w:val="ListParagraph"/>
        <w:tabs>
          <w:tab w:val="clear" w:pos="709"/>
          <w:tab w:val="left" w:pos="1134" w:leader="none"/>
        </w:tabs>
        <w:ind w:firstLine="737" w:left="0" w:right="-170"/>
        <w:jc w:val="both"/>
        <w:rPr/>
      </w:pPr>
      <w:r>
        <w:rPr>
          <w:sz w:val="28"/>
          <w:szCs w:val="28"/>
        </w:rPr>
        <w:t xml:space="preserve">7.1. Контрольный орган при проведении контрольных мероприятий, использует типовые формы документов, утвержденные приказом Министерства экономического развития Российской Федерации                                 от 31 марта 2021 года № 151 «О типовых формах документов, используемых контрольным (надзорным) органом». </w:t>
      </w:r>
      <w:r>
        <w:rPr>
          <w:color w:val="000000"/>
          <w:sz w:val="28"/>
          <w:szCs w:val="28"/>
        </w:rPr>
        <w:t xml:space="preserve">Иные  формы документов, предусмотренные Положением, утверждаются муниципальным правовым актом контрольного органа. </w:t>
      </w:r>
    </w:p>
    <w:p>
      <w:pPr>
        <w:pStyle w:val="ConsPlusNormal"/>
        <w:rPr/>
      </w:pPr>
      <w:r>
        <w:rPr/>
      </w:r>
    </w:p>
    <w:p>
      <w:pPr>
        <w:pStyle w:val="ConsPlusNormal"/>
        <w:rPr/>
      </w:pPr>
      <w:r>
        <w:rPr/>
      </w:r>
    </w:p>
    <w:p>
      <w:pPr>
        <w:pStyle w:val="ConsPlusNormal"/>
        <w:widowControl w:val="false"/>
        <w:ind w:left="4962" w:right="-1"/>
        <w:jc w:val="right"/>
        <w:rPr>
          <w:sz w:val="28"/>
          <w:szCs w:val="28"/>
        </w:rPr>
      </w:pPr>
      <w:r>
        <w:rPr>
          <w:sz w:val="28"/>
          <w:szCs w:val="28"/>
        </w:rPr>
        <w:t>Приложение 2</w:t>
      </w:r>
    </w:p>
    <w:p>
      <w:pPr>
        <w:pStyle w:val="ConsPlusNormal"/>
        <w:widowControl w:val="false"/>
        <w:ind w:left="4962" w:right="-1"/>
        <w:jc w:val="right"/>
        <w:rPr>
          <w:sz w:val="28"/>
          <w:szCs w:val="28"/>
        </w:rPr>
      </w:pPr>
      <w:r>
        <w:rPr>
          <w:sz w:val="28"/>
          <w:szCs w:val="28"/>
        </w:rPr>
        <w:t>к решению Совета депутатов Ровеньского муниципального округа Белгородской области</w:t>
      </w:r>
    </w:p>
    <w:p>
      <w:pPr>
        <w:pStyle w:val="ConsPlusNormal"/>
        <w:widowControl w:val="false"/>
        <w:ind w:left="4962" w:right="-1"/>
        <w:jc w:val="center"/>
        <w:rPr>
          <w:sz w:val="28"/>
          <w:szCs w:val="28"/>
        </w:rPr>
      </w:pPr>
      <w:r>
        <w:rPr>
          <w:sz w:val="28"/>
          <w:szCs w:val="28"/>
        </w:rPr>
        <w:t xml:space="preserve">         </w:t>
      </w:r>
      <w:r>
        <w:rPr>
          <w:sz w:val="28"/>
          <w:szCs w:val="28"/>
        </w:rPr>
        <w:t xml:space="preserve">от </w:t>
      </w:r>
      <w:r>
        <w:rPr>
          <w:sz w:val="28"/>
          <w:szCs w:val="28"/>
        </w:rPr>
        <w:t xml:space="preserve">28 июля </w:t>
      </w:r>
      <w:r>
        <w:rPr>
          <w:sz w:val="28"/>
          <w:szCs w:val="28"/>
        </w:rPr>
        <w:t xml:space="preserve">2026 года № </w:t>
      </w:r>
      <w:r>
        <w:rPr>
          <w:sz w:val="28"/>
          <w:szCs w:val="28"/>
        </w:rPr>
        <w:t>14/198</w:t>
      </w:r>
    </w:p>
    <w:p>
      <w:pPr>
        <w:pStyle w:val="ConsPlusNormal"/>
        <w:spacing w:lineRule="auto" w:line="228"/>
        <w:jc w:val="center"/>
        <w:rPr>
          <w:sz w:val="24"/>
          <w:szCs w:val="24"/>
        </w:rPr>
      </w:pPr>
      <w:r>
        <w:rPr>
          <w:sz w:val="28"/>
          <w:szCs w:val="28"/>
        </w:rPr>
        <w:t xml:space="preserve">                                                                    </w:t>
      </w:r>
    </w:p>
    <w:p>
      <w:pPr>
        <w:pStyle w:val="ConsPlusNormal"/>
        <w:tabs>
          <w:tab w:val="clear" w:pos="709"/>
          <w:tab w:val="left" w:pos="1134" w:leader="none"/>
        </w:tabs>
        <w:spacing w:lineRule="auto" w:line="228"/>
        <w:jc w:val="both"/>
        <w:rPr>
          <w:sz w:val="28"/>
          <w:szCs w:val="28"/>
        </w:rPr>
      </w:pPr>
      <w:r>
        <w:rPr>
          <w:sz w:val="28"/>
          <w:szCs w:val="28"/>
        </w:rPr>
      </w:r>
    </w:p>
    <w:p>
      <w:pPr>
        <w:pStyle w:val="ConsPlusNormal"/>
        <w:widowControl w:val="false"/>
        <w:spacing w:lineRule="auto" w:line="228" w:before="0" w:after="0"/>
        <w:contextualSpacing/>
        <w:jc w:val="center"/>
        <w:rPr>
          <w:b/>
          <w:sz w:val="28"/>
          <w:szCs w:val="28"/>
        </w:rPr>
      </w:pPr>
      <w:r>
        <w:rPr>
          <w:b/>
          <w:sz w:val="28"/>
          <w:szCs w:val="28"/>
        </w:rPr>
        <w:t>Перечень индикаторов риска нарушения обязательных требований, используемые для определения необходимости проведения внеплановых проверок при осуществлении на территории Ровеньского муниципального округа муниципального земельного контроля</w:t>
      </w:r>
    </w:p>
    <w:p>
      <w:pPr>
        <w:pStyle w:val="ConsPlusNormal"/>
        <w:tabs>
          <w:tab w:val="clear" w:pos="709"/>
          <w:tab w:val="left" w:pos="1134" w:leader="none"/>
        </w:tabs>
        <w:spacing w:lineRule="auto" w:line="228"/>
        <w:ind w:firstLine="705"/>
        <w:jc w:val="both"/>
        <w:rPr>
          <w:sz w:val="28"/>
          <w:szCs w:val="28"/>
        </w:rPr>
      </w:pPr>
      <w:r>
        <w:rPr>
          <w:sz w:val="28"/>
          <w:szCs w:val="28"/>
        </w:rPr>
      </w:r>
    </w:p>
    <w:p>
      <w:pPr>
        <w:pStyle w:val="ListParagraph"/>
        <w:tabs>
          <w:tab w:val="clear" w:pos="709"/>
          <w:tab w:val="left" w:pos="1134" w:leader="none"/>
        </w:tabs>
        <w:spacing w:lineRule="auto" w:line="228"/>
        <w:ind w:firstLine="737" w:left="0" w:right="-170"/>
        <w:jc w:val="both"/>
        <w:rPr>
          <w:rFonts w:ascii="Times New Roman" w:hAnsi="Times New Roman"/>
          <w:sz w:val="28"/>
          <w:szCs w:val="28"/>
        </w:rPr>
      </w:pPr>
      <w:r>
        <w:rPr>
          <w:sz w:val="28"/>
          <w:szCs w:val="28"/>
        </w:rPr>
        <w:t>1. Поступление жалоб, обращений от граждан, информации от органов государственной власти, в Администрацию Ровеньского муниципального округа, свидетельствующих о возможном использовании земельного участка с превышением площади, сведения о которой содержатся в Едином государственном реестре недвижимости, архивах Администрации Ровеньского муниципального округа более чем на 10%.</w:t>
      </w:r>
    </w:p>
    <w:p>
      <w:pPr>
        <w:pStyle w:val="ListParagraph"/>
        <w:tabs>
          <w:tab w:val="clear" w:pos="709"/>
          <w:tab w:val="left" w:pos="1134" w:leader="none"/>
        </w:tabs>
        <w:spacing w:lineRule="auto" w:line="228"/>
        <w:ind w:firstLine="737" w:left="0" w:right="-170"/>
        <w:jc w:val="both"/>
        <w:rPr>
          <w:rFonts w:ascii="Times New Roman" w:hAnsi="Times New Roman"/>
          <w:sz w:val="28"/>
          <w:szCs w:val="28"/>
        </w:rPr>
      </w:pPr>
      <w:r>
        <w:rPr>
          <w:sz w:val="28"/>
          <w:szCs w:val="28"/>
        </w:rPr>
        <w:t>2. Поступление жалоб, обращений от граждан, информации от органов, государственной власти, в Администрацию Ровеньского муниципального округа, свидетельствующих о возможном использовании земельного участка без оформленных в установленном порядке правоустанавливающих документов на земельный участок.</w:t>
      </w:r>
    </w:p>
    <w:p>
      <w:pPr>
        <w:pStyle w:val="ListParagraph"/>
        <w:tabs>
          <w:tab w:val="clear" w:pos="709"/>
          <w:tab w:val="left" w:pos="1134" w:leader="none"/>
        </w:tabs>
        <w:spacing w:lineRule="auto" w:line="228"/>
        <w:ind w:firstLine="737" w:left="0" w:right="-170"/>
        <w:jc w:val="both"/>
        <w:rPr>
          <w:rFonts w:ascii="Times New Roman" w:hAnsi="Times New Roman"/>
          <w:sz w:val="28"/>
          <w:szCs w:val="28"/>
        </w:rPr>
      </w:pPr>
      <w:r>
        <w:rPr>
          <w:sz w:val="28"/>
          <w:szCs w:val="28"/>
        </w:rPr>
        <w:t>3. Поступление жалоб, обращений от граждан, информации от органов государственной власти, в Администрацию Ровеньского муниципального округа, свидетельствующих о возможном использовании земельного участка по целевому назначению, отличному от того, которое указано в Едином государственном реестре недвижимости или правоустанавливающих документах на земельный участок.</w:t>
      </w:r>
    </w:p>
    <w:p>
      <w:pPr>
        <w:pStyle w:val="ListParagraph"/>
        <w:tabs>
          <w:tab w:val="clear" w:pos="709"/>
          <w:tab w:val="left" w:pos="1134" w:leader="none"/>
        </w:tabs>
        <w:spacing w:lineRule="auto" w:line="228"/>
        <w:ind w:firstLine="737" w:left="0" w:right="-170"/>
        <w:jc w:val="both"/>
        <w:rPr>
          <w:rFonts w:ascii="Times New Roman" w:hAnsi="Times New Roman"/>
          <w:sz w:val="28"/>
          <w:szCs w:val="28"/>
        </w:rPr>
      </w:pPr>
      <w:r>
        <w:rPr>
          <w:sz w:val="28"/>
          <w:szCs w:val="28"/>
        </w:rPr>
        <w:t>4. Отсутствие объектов капитального строительства, отсутствие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 в случае если обязанность по использованию такого земельного участка в течение установленного срока предусмотрена федеральным законом.</w:t>
      </w:r>
    </w:p>
    <w:p>
      <w:pPr>
        <w:pStyle w:val="ListParagraph"/>
        <w:tabs>
          <w:tab w:val="clear" w:pos="709"/>
          <w:tab w:val="left" w:pos="1134" w:leader="none"/>
        </w:tabs>
        <w:spacing w:lineRule="auto" w:line="228"/>
        <w:ind w:firstLine="737" w:left="0" w:right="-170"/>
        <w:jc w:val="both"/>
        <w:rPr>
          <w:rFonts w:ascii="Times New Roman" w:hAnsi="Times New Roman"/>
          <w:sz w:val="28"/>
          <w:szCs w:val="28"/>
        </w:rPr>
      </w:pPr>
      <w:r>
        <w:rPr>
          <w:sz w:val="28"/>
          <w:szCs w:val="28"/>
        </w:rPr>
        <w:t>5. Наступление срока для исполнения собственником (владельцем) земельного участка обязанности по приведению земельного участка в состояние, пригодное для использования по целевому назначению, рекультивации земельного участка в случае, если соответствующий срок установлен нормативным правовым актом или иным документом (договором аренды, разрешением на использование земельного участка без его предоставления и установления сервитута, проектной документацией и др.).</w:t>
      </w:r>
    </w:p>
    <w:p>
      <w:pPr>
        <w:pStyle w:val="ListParagraph"/>
        <w:tabs>
          <w:tab w:val="clear" w:pos="709"/>
          <w:tab w:val="left" w:pos="1134" w:leader="none"/>
        </w:tabs>
        <w:spacing w:lineRule="auto" w:line="228"/>
        <w:ind w:firstLine="737" w:left="0" w:right="-170"/>
        <w:jc w:val="both"/>
        <w:rPr>
          <w:rFonts w:ascii="Times New Roman" w:hAnsi="Times New Roman"/>
          <w:sz w:val="28"/>
          <w:szCs w:val="28"/>
        </w:rPr>
      </w:pPr>
      <w:r>
        <w:rPr>
          <w:sz w:val="28"/>
          <w:szCs w:val="28"/>
        </w:rPr>
        <w:t>6. Зарастание земельного участка сорной и (или) древесно-кустарниковой растительностью, свидетельствующее о его неиспользовании для ведения сельскохозяйственного производства или осуществления иной связанной с сельскохозяйственным производством деятельности.</w:t>
      </w:r>
    </w:p>
    <w:p>
      <w:pPr>
        <w:pStyle w:val="ConsPlusNormal"/>
        <w:numPr>
          <w:ilvl w:val="0"/>
          <w:numId w:val="0"/>
        </w:numPr>
        <w:spacing w:lineRule="auto" w:line="228" w:before="0" w:after="0"/>
        <w:ind w:hanging="0" w:left="0"/>
        <w:contextualSpacing/>
        <w:jc w:val="both"/>
        <w:outlineLvl w:val="0"/>
        <w:rPr>
          <w:rFonts w:ascii="Times New Roman" w:hAnsi="Times New Roman" w:eastAsia="Times New Roman" w:cs="Times New Roman"/>
          <w:sz w:val="28"/>
          <w:szCs w:val="28"/>
          <w:highlight w:val="none"/>
        </w:rPr>
      </w:pPr>
      <w:r>
        <w:rPr>
          <w:rFonts w:eastAsia="Times New Roman" w:cs="Times New Roman"/>
          <w:sz w:val="28"/>
          <w:szCs w:val="28"/>
        </w:rPr>
      </w:r>
    </w:p>
    <w:sectPr>
      <w:headerReference w:type="even" r:id="rId23"/>
      <w:headerReference w:type="default" r:id="rId24"/>
      <w:headerReference w:type="first" r:id="rId25"/>
      <w:footerReference w:type="even" r:id="rId26"/>
      <w:footerReference w:type="default" r:id="rId27"/>
      <w:footerReference w:type="first" r:id="rId28"/>
      <w:type w:val="nextPage"/>
      <w:pgSz w:w="11906" w:h="16838"/>
      <w:pgMar w:left="1701" w:right="850" w:gutter="0" w:header="0" w:top="1134" w:footer="0" w:bottom="1134"/>
      <w:pgNumType w:fmt="decimal"/>
      <w:formProt w:val="false"/>
      <w:titlePg/>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Arial">
    <w:charset w:val="01"/>
    <w:family w:val="swiss"/>
    <w:pitch w:val="default"/>
  </w:font>
  <w:font w:name="Tahoma">
    <w:charset w:val="01"/>
    <w:family w:val="roman"/>
    <w:pitch w:val="default"/>
  </w:font>
  <w:font w:name="PT Astra Serif">
    <w:charset w:val="01"/>
    <w:family w:val="roman"/>
    <w:pitch w:val="default"/>
  </w:font>
  <w:font w:name="Liberation Serif">
    <w:altName w:val="Times New Roman"/>
    <w:charset w:val="01"/>
    <w:family w:val="roman"/>
    <w:pitch w:val="default"/>
  </w:font>
  <w:font w:name="Courier New">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isLgl/>
      <w:numFmt w:val="decimal"/>
      <w:lvlText w:val="%1."/>
      <w:lvlJc w:val="left"/>
      <w:pPr>
        <w:tabs>
          <w:tab w:val="num" w:pos="0"/>
        </w:tabs>
        <w:ind w:left="0" w:hanging="0"/>
      </w:pPr>
      <w:rPr>
        <w:rFonts w:cs="Times New Roman"/>
      </w:rPr>
    </w:lvl>
    <w:lvl w:ilvl="1">
      <w:start w:val="1"/>
      <w:isLgl/>
      <w:numFmt w:val="decimal"/>
      <w:lvlText w:val="%1.%2."/>
      <w:lvlJc w:val="left"/>
      <w:pPr>
        <w:tabs>
          <w:tab w:val="num" w:pos="0"/>
        </w:tabs>
        <w:ind w:left="0" w:hanging="0"/>
      </w:pPr>
      <w:rPr>
        <w:smallCaps w:val="false"/>
        <w:caps w:val="false"/>
        <w:dstrike w:val="false"/>
        <w:strike w:val="false"/>
        <w:sz w:val="28"/>
        <w:spacing w:val="0"/>
        <w:i w:val="false"/>
        <w:u w:val="none"/>
        <w:b w:val="false"/>
        <w:szCs w:val="28"/>
        <w:iCs w:val="false"/>
        <w:bCs w:val="false"/>
        <w:rFonts w:ascii="Times New Roman" w:hAnsi="Times New Roman" w:eastAsia="Times New Roman" w:cs="Times New Roman"/>
        <w:color w:val="000000"/>
      </w:rPr>
    </w:lvl>
    <w:lvl w:ilvl="2">
      <w:start w:val="1"/>
      <w:isLgl/>
      <w:numFmt w:val="decimal"/>
      <w:lvlText w:val="%1.%2.%3."/>
      <w:lvlJc w:val="left"/>
      <w:pPr>
        <w:tabs>
          <w:tab w:val="num" w:pos="0"/>
        </w:tabs>
        <w:ind w:left="0" w:hanging="0"/>
      </w:pPr>
      <w:rPr>
        <w:rFonts w:cs="Times New Roman"/>
      </w:rPr>
    </w:lvl>
    <w:lvl w:ilvl="3">
      <w:start w:val="1"/>
      <w:isLgl/>
      <w:numFmt w:val="decimal"/>
      <w:lvlText w:val=""/>
      <w:lvlJc w:val="left"/>
      <w:pPr>
        <w:tabs>
          <w:tab w:val="num" w:pos="0"/>
        </w:tabs>
        <w:ind w:left="0" w:hanging="0"/>
      </w:pPr>
      <w:rPr>
        <w:rFonts w:cs="Times New Roman"/>
      </w:rPr>
    </w:lvl>
    <w:lvl w:ilvl="4">
      <w:start w:val="1"/>
      <w:isLgl/>
      <w:numFmt w:val="decimal"/>
      <w:lvlText w:val=""/>
      <w:lvlJc w:val="left"/>
      <w:pPr>
        <w:tabs>
          <w:tab w:val="num" w:pos="0"/>
        </w:tabs>
        <w:ind w:left="0" w:hanging="0"/>
      </w:pPr>
      <w:rPr>
        <w:rFonts w:cs="Times New Roman"/>
      </w:rPr>
    </w:lvl>
    <w:lvl w:ilvl="5">
      <w:start w:val="1"/>
      <w:isLgl/>
      <w:numFmt w:val="decimal"/>
      <w:lvlText w:val=""/>
      <w:lvlJc w:val="left"/>
      <w:pPr>
        <w:tabs>
          <w:tab w:val="num" w:pos="0"/>
        </w:tabs>
        <w:ind w:left="0" w:hanging="0"/>
      </w:pPr>
      <w:rPr>
        <w:rFonts w:cs="Times New Roman"/>
      </w:rPr>
    </w:lvl>
    <w:lvl w:ilvl="6">
      <w:start w:val="1"/>
      <w:isLgl/>
      <w:numFmt w:val="decimal"/>
      <w:lvlText w:val=""/>
      <w:lvlJc w:val="left"/>
      <w:pPr>
        <w:tabs>
          <w:tab w:val="num" w:pos="0"/>
        </w:tabs>
        <w:ind w:left="0" w:hanging="0"/>
      </w:pPr>
      <w:rPr>
        <w:rFonts w:cs="Times New Roman"/>
      </w:rPr>
    </w:lvl>
    <w:lvl w:ilvl="7">
      <w:start w:val="1"/>
      <w:isLgl/>
      <w:numFmt w:val="decimal"/>
      <w:lvlText w:val=""/>
      <w:lvlJc w:val="left"/>
      <w:pPr>
        <w:tabs>
          <w:tab w:val="num" w:pos="0"/>
        </w:tabs>
        <w:ind w:left="0" w:hanging="0"/>
      </w:pPr>
      <w:rPr>
        <w:rFonts w:cs="Times New Roman"/>
      </w:rPr>
    </w:lvl>
    <w:lvl w:ilvl="8">
      <w:start w:val="1"/>
      <w:isLgl/>
      <w:numFmt w:val="decimal"/>
      <w:lvlText w:val=""/>
      <w:lvlJc w:val="left"/>
      <w:pPr>
        <w:tabs>
          <w:tab w:val="num" w:pos="0"/>
        </w:tabs>
        <w:ind w:left="0" w:hanging="0"/>
      </w:pPr>
      <w:rPr>
        <w:rFonts w:cs="Times New Roman"/>
      </w:rPr>
    </w:lvl>
  </w:abstractNum>
  <w:abstractNum w:abstractNumId="2">
    <w:lvl w:ilvl="0">
      <w:start w:val="1"/>
      <w:isLgl/>
      <w:numFmt w:val="bullet"/>
      <w:lvlText w:val="-"/>
      <w:lvlJc w:val="left"/>
      <w:pPr>
        <w:tabs>
          <w:tab w:val="num" w:pos="0"/>
        </w:tabs>
        <w:ind w:left="0" w:hanging="0"/>
      </w:pPr>
      <w:rPr>
        <w:rFonts w:ascii="Times New Roman" w:hAnsi="Times New Roman" w:cs="Times New Roman" w:hint="default"/>
        <w:smallCaps w:val="false"/>
        <w:caps w:val="false"/>
        <w:dstrike w:val="false"/>
        <w:strike w:val="false"/>
        <w:sz w:val="28"/>
        <w:spacing w:val="0"/>
        <w:i w:val="false"/>
        <w:u w:val="none"/>
        <w:b w:val="false"/>
        <w:color w:val="000000"/>
      </w:rPr>
    </w:lvl>
    <w:lvl w:ilvl="1">
      <w:start w:val="1"/>
      <w:isLgl/>
      <w:numFmt w:val="decimal"/>
      <w:lvlText w:val=""/>
      <w:lvlJc w:val="left"/>
      <w:pPr>
        <w:tabs>
          <w:tab w:val="num" w:pos="0"/>
        </w:tabs>
        <w:ind w:left="0" w:hanging="0"/>
      </w:pPr>
      <w:rPr>
        <w:rFonts w:cs="Times New Roman"/>
      </w:rPr>
    </w:lvl>
    <w:lvl w:ilvl="2">
      <w:start w:val="1"/>
      <w:isLgl/>
      <w:numFmt w:val="decimal"/>
      <w:lvlText w:val=""/>
      <w:lvlJc w:val="left"/>
      <w:pPr>
        <w:tabs>
          <w:tab w:val="num" w:pos="0"/>
        </w:tabs>
        <w:ind w:left="0" w:hanging="0"/>
      </w:pPr>
      <w:rPr>
        <w:rFonts w:cs="Times New Roman"/>
      </w:rPr>
    </w:lvl>
    <w:lvl w:ilvl="3">
      <w:start w:val="1"/>
      <w:isLgl/>
      <w:numFmt w:val="decimal"/>
      <w:lvlText w:val=""/>
      <w:lvlJc w:val="left"/>
      <w:pPr>
        <w:tabs>
          <w:tab w:val="num" w:pos="0"/>
        </w:tabs>
        <w:ind w:left="0" w:hanging="0"/>
      </w:pPr>
      <w:rPr>
        <w:rFonts w:cs="Times New Roman"/>
      </w:rPr>
    </w:lvl>
    <w:lvl w:ilvl="4">
      <w:start w:val="1"/>
      <w:isLgl/>
      <w:numFmt w:val="decimal"/>
      <w:lvlText w:val=""/>
      <w:lvlJc w:val="left"/>
      <w:pPr>
        <w:tabs>
          <w:tab w:val="num" w:pos="0"/>
        </w:tabs>
        <w:ind w:left="0" w:hanging="0"/>
      </w:pPr>
      <w:rPr>
        <w:rFonts w:cs="Times New Roman"/>
      </w:rPr>
    </w:lvl>
    <w:lvl w:ilvl="5">
      <w:start w:val="1"/>
      <w:isLgl/>
      <w:numFmt w:val="decimal"/>
      <w:lvlText w:val=""/>
      <w:lvlJc w:val="left"/>
      <w:pPr>
        <w:tabs>
          <w:tab w:val="num" w:pos="0"/>
        </w:tabs>
        <w:ind w:left="0" w:hanging="0"/>
      </w:pPr>
      <w:rPr>
        <w:rFonts w:cs="Times New Roman"/>
      </w:rPr>
    </w:lvl>
    <w:lvl w:ilvl="6">
      <w:start w:val="1"/>
      <w:isLgl/>
      <w:numFmt w:val="decimal"/>
      <w:lvlText w:val=""/>
      <w:lvlJc w:val="left"/>
      <w:pPr>
        <w:tabs>
          <w:tab w:val="num" w:pos="0"/>
        </w:tabs>
        <w:ind w:left="0" w:hanging="0"/>
      </w:pPr>
      <w:rPr>
        <w:rFonts w:cs="Times New Roman"/>
      </w:rPr>
    </w:lvl>
    <w:lvl w:ilvl="7">
      <w:start w:val="1"/>
      <w:isLgl/>
      <w:numFmt w:val="decimal"/>
      <w:lvlText w:val=""/>
      <w:lvlJc w:val="left"/>
      <w:pPr>
        <w:tabs>
          <w:tab w:val="num" w:pos="0"/>
        </w:tabs>
        <w:ind w:left="0" w:hanging="0"/>
      </w:pPr>
      <w:rPr>
        <w:rFonts w:cs="Times New Roman"/>
      </w:rPr>
    </w:lvl>
    <w:lvl w:ilvl="8">
      <w:start w:val="1"/>
      <w:isLgl/>
      <w:numFmt w:val="decimal"/>
      <w:lvlText w:val=""/>
      <w:lvlJc w:val="left"/>
      <w:pPr>
        <w:tabs>
          <w:tab w:val="num" w:pos="0"/>
        </w:tabs>
        <w:ind w:left="0" w:hanging="0"/>
      </w:pPr>
      <w:rPr>
        <w:rFonts w:cs="Times New Roman"/>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9"/>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oto Serif CJK SC" w:cs="FreeSans"/>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name w:val="Normal"/>
    <w:qFormat/>
    <w:pPr>
      <w:widowControl/>
      <w:suppressAutoHyphens w:val="true"/>
      <w:bidi w:val="0"/>
      <w:spacing w:before="0" w:after="0"/>
      <w:jc w:val="left"/>
    </w:pPr>
    <w:rPr>
      <w:rFonts w:ascii="Times New Roman" w:hAnsi="Times New Roman" w:eastAsia="Noto Serif CJK SC" w:cs="FreeSans"/>
      <w:color w:val="auto"/>
      <w:kern w:val="0"/>
      <w:sz w:val="20"/>
      <w:szCs w:val="20"/>
      <w:lang w:val="ru-RU" w:eastAsia="ru-RU" w:bidi="ar-SA"/>
    </w:rPr>
  </w:style>
  <w:style w:type="paragraph" w:styleId="Heading1">
    <w:name w:val="heading 1"/>
    <w:basedOn w:val="Normal"/>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uiPriority w:val="9"/>
    <w:unhideWhenUsed/>
    <w:qFormat/>
    <w:pPr>
      <w:keepNext w:val="true"/>
      <w:keepLines/>
      <w:spacing w:before="320" w:after="200"/>
      <w:outlineLvl w:val="8"/>
    </w:pPr>
    <w:rPr>
      <w:rFonts w:ascii="Arial" w:hAnsi="Arial" w:eastAsia="Arial" w:cs="Arial"/>
      <w:i/>
      <w:iCs/>
      <w:sz w:val="21"/>
      <w:szCs w:val="21"/>
    </w:rPr>
  </w:style>
  <w:style w:type="character" w:styleId="Heading1Char">
    <w:name w:val="Heading 1 Char"/>
    <w:uiPriority w:val="9"/>
    <w:qFormat/>
    <w:rPr>
      <w:rFonts w:ascii="Arial" w:hAnsi="Arial" w:eastAsia="Arial" w:cs="Arial"/>
      <w:sz w:val="40"/>
      <w:szCs w:val="40"/>
    </w:rPr>
  </w:style>
  <w:style w:type="character" w:styleId="Heading2Char">
    <w:name w:val="Heading 2 Char"/>
    <w:uiPriority w:val="9"/>
    <w:qFormat/>
    <w:rPr>
      <w:rFonts w:ascii="Arial" w:hAnsi="Arial" w:eastAsia="Arial" w:cs="Arial"/>
      <w:sz w:val="34"/>
    </w:rPr>
  </w:style>
  <w:style w:type="character" w:styleId="Heading3Char">
    <w:name w:val="Heading 3 Char"/>
    <w:uiPriority w:val="9"/>
    <w:qFormat/>
    <w:rPr>
      <w:rFonts w:ascii="Arial" w:hAnsi="Arial" w:eastAsia="Arial" w:cs="Arial"/>
      <w:sz w:val="30"/>
      <w:szCs w:val="30"/>
    </w:rPr>
  </w:style>
  <w:style w:type="character" w:styleId="Heading4Char">
    <w:name w:val="Heading 4 Char"/>
    <w:uiPriority w:val="9"/>
    <w:qFormat/>
    <w:rPr>
      <w:rFonts w:ascii="Arial" w:hAnsi="Arial" w:eastAsia="Arial" w:cs="Arial"/>
      <w:b/>
      <w:bCs/>
      <w:sz w:val="26"/>
      <w:szCs w:val="26"/>
    </w:rPr>
  </w:style>
  <w:style w:type="character" w:styleId="Heading5Char">
    <w:name w:val="Heading 5 Char"/>
    <w:uiPriority w:val="9"/>
    <w:qFormat/>
    <w:rPr>
      <w:rFonts w:ascii="Arial" w:hAnsi="Arial" w:eastAsia="Arial" w:cs="Arial"/>
      <w:b/>
      <w:bCs/>
      <w:sz w:val="24"/>
      <w:szCs w:val="24"/>
    </w:rPr>
  </w:style>
  <w:style w:type="character" w:styleId="Heading6Char">
    <w:name w:val="Heading 6 Char"/>
    <w:uiPriority w:val="9"/>
    <w:qFormat/>
    <w:rPr>
      <w:rFonts w:ascii="Arial" w:hAnsi="Arial" w:eastAsia="Arial" w:cs="Arial"/>
      <w:b/>
      <w:bCs/>
      <w:sz w:val="22"/>
      <w:szCs w:val="22"/>
    </w:rPr>
  </w:style>
  <w:style w:type="character" w:styleId="Heading7Char">
    <w:name w:val="Heading 7 Char"/>
    <w:uiPriority w:val="9"/>
    <w:qFormat/>
    <w:rPr>
      <w:rFonts w:ascii="Arial" w:hAnsi="Arial" w:eastAsia="Arial" w:cs="Arial"/>
      <w:b/>
      <w:bCs/>
      <w:i/>
      <w:iCs/>
      <w:sz w:val="22"/>
      <w:szCs w:val="22"/>
    </w:rPr>
  </w:style>
  <w:style w:type="character" w:styleId="Heading8Char">
    <w:name w:val="Heading 8 Char"/>
    <w:uiPriority w:val="9"/>
    <w:qFormat/>
    <w:rPr>
      <w:rFonts w:ascii="Arial" w:hAnsi="Arial" w:eastAsia="Arial" w:cs="Arial"/>
      <w:i/>
      <w:iCs/>
      <w:sz w:val="22"/>
      <w:szCs w:val="22"/>
    </w:rPr>
  </w:style>
  <w:style w:type="character" w:styleId="Heading9Char">
    <w:name w:val="Heading 9 Char"/>
    <w:uiPriority w:val="9"/>
    <w:qFormat/>
    <w:rPr>
      <w:rFonts w:ascii="Arial" w:hAnsi="Arial" w:eastAsia="Arial" w:cs="Arial"/>
      <w:i/>
      <w:iCs/>
      <w:sz w:val="21"/>
      <w:szCs w:val="21"/>
    </w:rPr>
  </w:style>
  <w:style w:type="character" w:styleId="TitleChar">
    <w:name w:val="Title Char"/>
    <w:uiPriority w:val="10"/>
    <w:qFormat/>
    <w:rPr>
      <w:sz w:val="48"/>
      <w:szCs w:val="48"/>
    </w:rPr>
  </w:style>
  <w:style w:type="character" w:styleId="SubtitleChar">
    <w:name w:val="Subtitle Char"/>
    <w:uiPriority w:val="11"/>
    <w:qFormat/>
    <w:rPr>
      <w:sz w:val="24"/>
      <w:szCs w:val="24"/>
    </w:rPr>
  </w:style>
  <w:style w:type="character" w:styleId="QuoteChar">
    <w:name w:val="Quote Char"/>
    <w:uiPriority w:val="29"/>
    <w:qFormat/>
    <w:rPr>
      <w:i/>
    </w:rPr>
  </w:style>
  <w:style w:type="character" w:styleId="IntenseQuoteChar">
    <w:name w:val="Intense Quote Char"/>
    <w:uiPriority w:val="30"/>
    <w:qFormat/>
    <w:rPr>
      <w:i/>
    </w:rPr>
  </w:style>
  <w:style w:type="character" w:styleId="HeaderChar">
    <w:name w:val="Header Char"/>
    <w:uiPriority w:val="99"/>
    <w:qFormat/>
    <w:rPr/>
  </w:style>
  <w:style w:type="character" w:styleId="FooterChar">
    <w:name w:val="Footer Char"/>
    <w:uiPriority w:val="99"/>
    <w:qFormat/>
    <w:rPr/>
  </w:style>
  <w:style w:type="character" w:styleId="CaptionChar">
    <w:name w:val="Caption Char"/>
    <w:uiPriority w:val="99"/>
    <w:qFormat/>
    <w:rPr/>
  </w:style>
  <w:style w:type="character" w:styleId="Hyperlink" w:customStyle="1">
    <w:name w:val="Hyperlink"/>
    <w:qFormat/>
    <w:rPr>
      <w:color w:val="000080"/>
      <w:u w:val="single"/>
    </w:rPr>
  </w:style>
  <w:style w:type="character" w:styleId="FootnoteTextChar">
    <w:name w:val="Footnote Text Char"/>
    <w:uiPriority w:val="99"/>
    <w:qFormat/>
    <w:rPr>
      <w:sz w:val="18"/>
    </w:rPr>
  </w:style>
  <w:style w:type="character" w:styleId="user">
    <w:name w:val="Символ сноски (user)"/>
    <w:uiPriority w:val="99"/>
    <w:unhideWhenUsed/>
    <w:qFormat/>
    <w:rPr>
      <w:vertAlign w:val="superscript"/>
    </w:rPr>
  </w:style>
  <w:style w:type="character" w:styleId="Style5">
    <w:name w:val="Символ сноски"/>
    <w:qFormat/>
    <w:rPr>
      <w:vertAlign w:val="superscript"/>
    </w:rPr>
  </w:style>
  <w:style w:type="character" w:styleId="FootnoteReference">
    <w:name w:val="footnote reference"/>
    <w:rPr>
      <w:vertAlign w:val="superscript"/>
    </w:rPr>
  </w:style>
  <w:style w:type="character" w:styleId="EndnoteTextChar">
    <w:name w:val="Endnote Text Char"/>
    <w:uiPriority w:val="99"/>
    <w:qFormat/>
    <w:rPr>
      <w:sz w:val="20"/>
    </w:rPr>
  </w:style>
  <w:style w:type="character" w:styleId="user1">
    <w:name w:val="Символ концевой сноски (user)"/>
    <w:uiPriority w:val="99"/>
    <w:semiHidden/>
    <w:unhideWhenUsed/>
    <w:qFormat/>
    <w:rPr>
      <w:vertAlign w:val="superscript"/>
    </w:rPr>
  </w:style>
  <w:style w:type="character" w:styleId="Style6">
    <w:name w:val="Символ концевой сноски"/>
    <w:qFormat/>
    <w:rPr>
      <w:vertAlign w:val="superscript"/>
    </w:rPr>
  </w:style>
  <w:style w:type="character" w:styleId="EndnoteReference">
    <w:name w:val="endnote reference"/>
    <w:rPr>
      <w:vertAlign w:val="superscript"/>
    </w:rPr>
  </w:style>
  <w:style w:type="character" w:styleId="DefaultParagraphFont" w:default="1">
    <w:name w:val="Default Paragraph Font"/>
    <w:uiPriority w:val="1"/>
    <w:semiHidden/>
    <w:unhideWhenUsed/>
    <w:qFormat/>
    <w:rPr/>
  </w:style>
  <w:style w:type="character" w:styleId="Style7">
    <w:name w:val="Текст выноски Знак"/>
    <w:qFormat/>
    <w:rPr>
      <w:rFonts w:ascii="Tahoma" w:hAnsi="Tahoma"/>
      <w:sz w:val="16"/>
      <w:szCs w:val="16"/>
    </w:rPr>
  </w:style>
  <w:style w:type="character" w:styleId="Style8">
    <w:name w:val="Нижний колонтитул Знак"/>
    <w:qFormat/>
    <w:rPr/>
  </w:style>
  <w:style w:type="character" w:styleId="Style9">
    <w:name w:val="Верхний колонтитул Знак"/>
    <w:qFormat/>
    <w:rPr/>
  </w:style>
  <w:style w:type="character" w:styleId="2">
    <w:name w:val="Основной текст 2 Знак"/>
    <w:qFormat/>
    <w:rPr>
      <w:rFonts w:ascii="Times New Roman" w:hAnsi="Times New Roman"/>
      <w:sz w:val="20"/>
      <w:szCs w:val="20"/>
      <w:lang w:eastAsia="ru-RU"/>
    </w:rPr>
  </w:style>
  <w:style w:type="character" w:styleId="Style10">
    <w:name w:val="Текст концевой сноски Знак"/>
    <w:qFormat/>
    <w:rPr>
      <w:sz w:val="20"/>
    </w:rPr>
  </w:style>
  <w:style w:type="character" w:styleId="Style11">
    <w:name w:val="Текст сноски Знак"/>
    <w:qFormat/>
    <w:rPr>
      <w:sz w:val="18"/>
    </w:rPr>
  </w:style>
  <w:style w:type="character" w:styleId="Style12">
    <w:name w:val="Выделенная цитата Знак"/>
    <w:qFormat/>
    <w:rPr>
      <w:i/>
    </w:rPr>
  </w:style>
  <w:style w:type="character" w:styleId="21">
    <w:name w:val="Цитата 2 Знак"/>
    <w:qFormat/>
    <w:rPr>
      <w:i/>
    </w:rPr>
  </w:style>
  <w:style w:type="character" w:styleId="Style13">
    <w:name w:val="Подзаголовок Знак"/>
    <w:qFormat/>
    <w:rPr>
      <w:sz w:val="24"/>
      <w:szCs w:val="24"/>
    </w:rPr>
  </w:style>
  <w:style w:type="character" w:styleId="Style14">
    <w:name w:val="Название Знак"/>
    <w:qFormat/>
    <w:rPr>
      <w:sz w:val="48"/>
      <w:szCs w:val="48"/>
    </w:rPr>
  </w:style>
  <w:style w:type="character" w:styleId="9">
    <w:name w:val="Заголовок 9 Знак"/>
    <w:qFormat/>
    <w:rPr>
      <w:rFonts w:ascii="Arial" w:hAnsi="Arial" w:eastAsia="Arial"/>
      <w:i/>
      <w:iCs/>
      <w:sz w:val="21"/>
      <w:szCs w:val="21"/>
    </w:rPr>
  </w:style>
  <w:style w:type="character" w:styleId="8">
    <w:name w:val="Заголовок 8 Знак"/>
    <w:qFormat/>
    <w:rPr>
      <w:rFonts w:ascii="Arial" w:hAnsi="Arial" w:eastAsia="Arial"/>
      <w:i/>
      <w:iCs/>
      <w:sz w:val="22"/>
      <w:szCs w:val="22"/>
    </w:rPr>
  </w:style>
  <w:style w:type="character" w:styleId="7">
    <w:name w:val="Заголовок 7 Знак"/>
    <w:qFormat/>
    <w:rPr>
      <w:rFonts w:ascii="Arial" w:hAnsi="Arial" w:eastAsia="Arial"/>
      <w:b/>
      <w:bCs/>
      <w:i/>
      <w:iCs/>
      <w:sz w:val="22"/>
      <w:szCs w:val="22"/>
    </w:rPr>
  </w:style>
  <w:style w:type="character" w:styleId="6">
    <w:name w:val="Заголовок 6 Знак"/>
    <w:qFormat/>
    <w:rPr>
      <w:rFonts w:ascii="Arial" w:hAnsi="Arial" w:eastAsia="Arial"/>
      <w:b/>
      <w:bCs/>
      <w:sz w:val="22"/>
      <w:szCs w:val="22"/>
    </w:rPr>
  </w:style>
  <w:style w:type="character" w:styleId="5">
    <w:name w:val="Заголовок 5 Знак"/>
    <w:qFormat/>
    <w:rPr>
      <w:rFonts w:ascii="Arial" w:hAnsi="Arial" w:eastAsia="Arial"/>
      <w:b/>
      <w:bCs/>
      <w:sz w:val="24"/>
      <w:szCs w:val="24"/>
    </w:rPr>
  </w:style>
  <w:style w:type="character" w:styleId="4">
    <w:name w:val="Заголовок 4 Знак"/>
    <w:qFormat/>
    <w:rPr>
      <w:rFonts w:ascii="Arial" w:hAnsi="Arial" w:eastAsia="Arial"/>
      <w:b/>
      <w:bCs/>
      <w:sz w:val="26"/>
      <w:szCs w:val="26"/>
    </w:rPr>
  </w:style>
  <w:style w:type="character" w:styleId="3">
    <w:name w:val="Заголовок 3 Знак"/>
    <w:qFormat/>
    <w:rPr>
      <w:rFonts w:ascii="Arial" w:hAnsi="Arial" w:eastAsia="Arial"/>
      <w:sz w:val="30"/>
      <w:szCs w:val="30"/>
    </w:rPr>
  </w:style>
  <w:style w:type="character" w:styleId="22">
    <w:name w:val="Заголовок 2 Знак"/>
    <w:qFormat/>
    <w:rPr>
      <w:rFonts w:ascii="Arial" w:hAnsi="Arial" w:eastAsia="Arial"/>
      <w:sz w:val="34"/>
    </w:rPr>
  </w:style>
  <w:style w:type="character" w:styleId="1">
    <w:name w:val="Заголовок 1 Знак"/>
    <w:qFormat/>
    <w:rPr>
      <w:rFonts w:ascii="Arial" w:hAnsi="Arial" w:eastAsia="Arial"/>
      <w:sz w:val="40"/>
      <w:szCs w:val="40"/>
    </w:rPr>
  </w:style>
  <w:style w:type="paragraph" w:styleId="Style15">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customStyle="1">
    <w:name w:val="Body Text"/>
    <w:basedOn w:val="Normal"/>
    <w:pPr>
      <w:keepNext w:val="false"/>
      <w:keepLines w:val="false"/>
      <w:pageBreakBefore w:val="false"/>
      <w:widowControl/>
      <w:shd w:val="nil" w:color="auto"/>
      <w:spacing w:lineRule="auto" w:line="276" w:beforeAutospacing="0" w:before="0" w:afterAutospacing="0" w:after="140"/>
      <w:ind w:hanging="0" w:left="0" w:right="0"/>
      <w:jc w:val="left"/>
    </w:pPr>
    <w:rPr>
      <w:rFonts w:ascii="Liberation Serif" w:hAnsi="Liberation Serif" w:eastAsia="Droid Sans Fallback" w:cs="Droid Sans Devanagari"/>
      <w:b w:val="false"/>
      <w:bCs w:val="false"/>
      <w:i w:val="false"/>
      <w:iCs w:val="false"/>
      <w:caps w:val="false"/>
      <w:smallCaps w:val="false"/>
      <w:strike w:val="false"/>
      <w:dstrike w:val="false"/>
      <w:vanish w:val="false"/>
      <w:color w:val="auto"/>
      <w:spacing w:val="0"/>
      <w:position w:val="0"/>
      <w:sz w:val="24"/>
      <w:sz w:val="24"/>
      <w:szCs w:val="24"/>
      <w:u w:val="none"/>
      <w:vertAlign w:val="baseline"/>
      <w:lang w:val="ru-RU" w:eastAsia="zh-CN" w:bidi="hi-IN"/>
    </w:rPr>
  </w:style>
  <w:style w:type="paragraph" w:styleId="List">
    <w:name w:val="List"/>
    <w:basedOn w:val="BodyText"/>
    <w:pPr/>
    <w:rPr>
      <w:rFonts w:ascii="PT Astra Serif" w:hAnsi="PT Astra Serif" w:cs="FreeSans"/>
    </w:rPr>
  </w:style>
  <w:style w:type="paragraph" w:styleId="Caption">
    <w:name w:val="caption"/>
    <w:basedOn w:val="Normal"/>
    <w:uiPriority w:val="35"/>
    <w:semiHidden/>
    <w:unhideWhenUsed/>
    <w:qFormat/>
    <w:pPr>
      <w:spacing w:lineRule="auto" w:line="276"/>
    </w:pPr>
    <w:rPr>
      <w:b/>
      <w:bCs/>
      <w:color w:themeColor="accent1" w:val="4F81BD"/>
      <w:sz w:val="18"/>
      <w:szCs w:val="18"/>
    </w:rPr>
  </w:style>
  <w:style w:type="paragraph" w:styleId="Style16">
    <w:name w:val="Указатель"/>
    <w:basedOn w:val="Normal"/>
    <w:qFormat/>
    <w:pPr>
      <w:suppressLineNumbers/>
    </w:pPr>
    <w:rPr>
      <w:rFonts w:ascii="PT Astra Serif" w:hAnsi="PT Astra Serif" w:cs="FreeSans"/>
    </w:rPr>
  </w:style>
  <w:style w:type="paragraph" w:styleId="user2">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3">
    <w:name w:val="Указатель (user)"/>
    <w:basedOn w:val="Normal"/>
    <w:qFormat/>
    <w:pPr>
      <w:suppressLineNumbers/>
    </w:pPr>
    <w:rPr>
      <w:rFonts w:ascii="PT Astra Serif" w:hAnsi="PT Astra Serif" w:cs="FreeSans"/>
    </w:rPr>
  </w:style>
  <w:style w:type="paragraph" w:styleId="ListParagraph">
    <w:name w:val="List Paragraph"/>
    <w:basedOn w:val="Normal"/>
    <w:uiPriority w:val="34"/>
    <w:qFormat/>
    <w:pPr>
      <w:spacing w:before="0" w:after="0"/>
      <w:ind w:left="720"/>
      <w:contextualSpacing/>
    </w:pPr>
    <w:rPr/>
  </w:style>
  <w:style w:type="paragraph" w:styleId="NoSpacing">
    <w:name w:val="No Spacing"/>
    <w:uiPriority w:val="1"/>
    <w:qFormat/>
    <w:pPr>
      <w:widowControl/>
      <w:suppressAutoHyphens w:val="true"/>
      <w:bidi w:val="0"/>
      <w:spacing w:lineRule="auto" w:line="240" w:before="0" w:after="0"/>
      <w:jc w:val="left"/>
    </w:pPr>
    <w:rPr>
      <w:rFonts w:ascii="Times New Roman" w:hAnsi="Times New Roman" w:eastAsia="Noto Serif CJK SC" w:cs="FreeSans"/>
      <w:color w:val="auto"/>
      <w:kern w:val="0"/>
      <w:sz w:val="20"/>
      <w:szCs w:val="20"/>
      <w:lang w:val="ru-RU" w:eastAsia="ru-RU" w:bidi="ar-SA"/>
    </w:rPr>
  </w:style>
  <w:style w:type="paragraph" w:styleId="Title">
    <w:name w:val="Title"/>
    <w:basedOn w:val="Normal"/>
    <w:uiPriority w:val="10"/>
    <w:qFormat/>
    <w:pPr>
      <w:spacing w:before="300" w:after="200"/>
      <w:contextualSpacing/>
    </w:pPr>
    <w:rPr>
      <w:sz w:val="48"/>
      <w:szCs w:val="48"/>
    </w:rPr>
  </w:style>
  <w:style w:type="paragraph" w:styleId="Subtitle">
    <w:name w:val="Subtitle"/>
    <w:basedOn w:val="Normal"/>
    <w:uiPriority w:val="11"/>
    <w:qFormat/>
    <w:pPr>
      <w:spacing w:before="200" w:after="200"/>
    </w:pPr>
    <w:rPr>
      <w:sz w:val="24"/>
      <w:szCs w:val="24"/>
    </w:rPr>
  </w:style>
  <w:style w:type="paragraph" w:styleId="Quote">
    <w:name w:val="Quote"/>
    <w:basedOn w:val="Normal"/>
    <w:uiPriority w:val="29"/>
    <w:qFormat/>
    <w:pPr>
      <w:ind w:left="720" w:right="720"/>
    </w:pPr>
    <w:rPr>
      <w:i/>
    </w:rPr>
  </w:style>
  <w:style w:type="paragraph" w:styleId="IntenseQuote">
    <w:name w:val="Intense Quote"/>
    <w:basedOn w:val="Normal"/>
    <w:uiPriority w:val="30"/>
    <w:qFormat/>
    <w:pPr>
      <w:pBdr>
        <w:top w:val="single" w:sz="4" w:space="5" w:color="FFFFFF"/>
        <w:left w:val="single" w:sz="4" w:space="10" w:color="FFFFFF"/>
        <w:bottom w:val="single" w:sz="4" w:space="5" w:color="FFFFFF"/>
        <w:right w:val="single" w:sz="4" w:space="10" w:color="FFFFFF"/>
      </w:pBdr>
      <w:shd w:val="clear" w:color="auto" w:fill="F2F2F2"/>
      <w:spacing w:before="0" w:after="0"/>
      <w:ind w:left="720" w:right="720"/>
    </w:pPr>
    <w:rPr>
      <w:i/>
    </w:rPr>
  </w:style>
  <w:style w:type="paragraph" w:styleId="HeaderandFooter">
    <w:name w:val="Header and Footer"/>
    <w:basedOn w:val="Normal"/>
    <w:qFormat/>
    <w:pPr/>
    <w:rPr/>
  </w:style>
  <w:style w:type="paragraph" w:styleId="Header">
    <w:name w:val="header"/>
    <w:basedOn w:val="Normal"/>
    <w:uiPriority w:val="99"/>
    <w:unhideWhenUsed/>
    <w:pPr>
      <w:tabs>
        <w:tab w:val="clear" w:pos="709"/>
        <w:tab w:val="center" w:pos="7143" w:leader="none"/>
        <w:tab w:val="right" w:pos="14287" w:leader="none"/>
      </w:tabs>
      <w:spacing w:lineRule="auto" w:line="240" w:before="0" w:after="0"/>
    </w:pPr>
    <w:rPr/>
  </w:style>
  <w:style w:type="paragraph" w:styleId="Footer">
    <w:name w:val="footer"/>
    <w:basedOn w:val="Normal"/>
    <w:uiPriority w:val="99"/>
    <w:unhideWhenUsed/>
    <w:pPr>
      <w:tabs>
        <w:tab w:val="clear" w:pos="709"/>
        <w:tab w:val="center" w:pos="7143" w:leader="none"/>
        <w:tab w:val="right" w:pos="14287" w:leader="none"/>
      </w:tabs>
      <w:spacing w:lineRule="auto" w:line="240" w:before="0" w:after="0"/>
    </w:pPr>
    <w:rPr/>
  </w:style>
  <w:style w:type="paragraph" w:styleId="FootnoteText">
    <w:name w:val="footnote text"/>
    <w:basedOn w:val="Normal"/>
    <w:uiPriority w:val="99"/>
    <w:semiHidden/>
    <w:unhideWhenUsed/>
    <w:pPr>
      <w:spacing w:lineRule="auto" w:line="240" w:before="0" w:after="40"/>
    </w:pPr>
    <w:rPr>
      <w:sz w:val="18"/>
    </w:rPr>
  </w:style>
  <w:style w:type="paragraph" w:styleId="EndnoteText">
    <w:name w:val="endnote text"/>
    <w:basedOn w:val="Normal"/>
    <w:uiPriority w:val="99"/>
    <w:semiHidden/>
    <w:unhideWhenUsed/>
    <w:pPr>
      <w:spacing w:lineRule="auto" w:line="240" w:before="0" w:after="0"/>
    </w:pPr>
    <w:rPr>
      <w:sz w:val="20"/>
    </w:rPr>
  </w:style>
  <w:style w:type="paragraph" w:styleId="TOC1">
    <w:name w:val="toc 1"/>
    <w:basedOn w:val="Normal"/>
    <w:uiPriority w:val="39"/>
    <w:unhideWhenUsed/>
    <w:pPr>
      <w:spacing w:before="0" w:after="57"/>
      <w:ind w:hanging="0" w:left="0" w:right="0"/>
    </w:pPr>
    <w:rPr/>
  </w:style>
  <w:style w:type="paragraph" w:styleId="TOC2">
    <w:name w:val="toc 2"/>
    <w:basedOn w:val="Normal"/>
    <w:uiPriority w:val="39"/>
    <w:unhideWhenUsed/>
    <w:pPr>
      <w:spacing w:before="0" w:after="57"/>
      <w:ind w:hanging="0" w:left="283" w:right="0"/>
    </w:pPr>
    <w:rPr/>
  </w:style>
  <w:style w:type="paragraph" w:styleId="TOC3">
    <w:name w:val="toc 3"/>
    <w:basedOn w:val="Normal"/>
    <w:uiPriority w:val="39"/>
    <w:unhideWhenUsed/>
    <w:pPr>
      <w:spacing w:before="0" w:after="57"/>
      <w:ind w:hanging="0" w:left="567" w:right="0"/>
    </w:pPr>
    <w:rPr/>
  </w:style>
  <w:style w:type="paragraph" w:styleId="TOC4">
    <w:name w:val="toc 4"/>
    <w:basedOn w:val="Normal"/>
    <w:uiPriority w:val="39"/>
    <w:unhideWhenUsed/>
    <w:pPr>
      <w:spacing w:before="0" w:after="57"/>
      <w:ind w:hanging="0" w:left="850" w:right="0"/>
    </w:pPr>
    <w:rPr/>
  </w:style>
  <w:style w:type="paragraph" w:styleId="TOC5">
    <w:name w:val="toc 5"/>
    <w:basedOn w:val="Normal"/>
    <w:uiPriority w:val="39"/>
    <w:unhideWhenUsed/>
    <w:pPr>
      <w:spacing w:before="0" w:after="57"/>
      <w:ind w:hanging="0" w:left="1134" w:right="0"/>
    </w:pPr>
    <w:rPr/>
  </w:style>
  <w:style w:type="paragraph" w:styleId="TOC6">
    <w:name w:val="toc 6"/>
    <w:basedOn w:val="Normal"/>
    <w:uiPriority w:val="39"/>
    <w:unhideWhenUsed/>
    <w:pPr>
      <w:spacing w:before="0" w:after="57"/>
      <w:ind w:hanging="0" w:left="1417" w:right="0"/>
    </w:pPr>
    <w:rPr/>
  </w:style>
  <w:style w:type="paragraph" w:styleId="TOC7">
    <w:name w:val="toc 7"/>
    <w:basedOn w:val="Normal"/>
    <w:uiPriority w:val="39"/>
    <w:unhideWhenUsed/>
    <w:pPr>
      <w:spacing w:before="0" w:after="57"/>
      <w:ind w:hanging="0" w:left="1701" w:right="0"/>
    </w:pPr>
    <w:rPr/>
  </w:style>
  <w:style w:type="paragraph" w:styleId="TOC8">
    <w:name w:val="toc 8"/>
    <w:basedOn w:val="Normal"/>
    <w:uiPriority w:val="39"/>
    <w:unhideWhenUsed/>
    <w:pPr>
      <w:spacing w:before="0" w:after="57"/>
      <w:ind w:hanging="0" w:left="1984" w:right="0"/>
    </w:pPr>
    <w:rPr/>
  </w:style>
  <w:style w:type="paragraph" w:styleId="TOC9">
    <w:name w:val="toc 9"/>
    <w:basedOn w:val="Normal"/>
    <w:uiPriority w:val="39"/>
    <w:unhideWhenUsed/>
    <w:pPr>
      <w:spacing w:before="0" w:after="57"/>
      <w:ind w:hanging="0" w:left="2268" w:right="0"/>
    </w:pPr>
    <w:rPr/>
  </w:style>
  <w:style w:type="paragraph" w:styleId="IndexHeading">
    <w:name w:val="index heading"/>
    <w:basedOn w:val="user2"/>
    <w:pPr/>
    <w:rPr/>
  </w:style>
  <w:style w:type="paragraph" w:styleId="TOCHeading">
    <w:name w:val="TOC Heading"/>
    <w:uiPriority w:val="39"/>
    <w:unhideWhenUsed/>
    <w:qFormat/>
    <w:pPr>
      <w:widowControl/>
      <w:suppressAutoHyphens w:val="true"/>
      <w:bidi w:val="0"/>
      <w:spacing w:before="0" w:after="0"/>
      <w:jc w:val="left"/>
    </w:pPr>
    <w:rPr>
      <w:rFonts w:ascii="Times New Roman" w:hAnsi="Times New Roman" w:eastAsia="Noto Serif CJK SC" w:cs="FreeSans"/>
      <w:color w:val="auto"/>
      <w:kern w:val="0"/>
      <w:sz w:val="20"/>
      <w:szCs w:val="20"/>
      <w:lang w:val="ru-RU" w:eastAsia="ru-RU" w:bidi="ar-SA"/>
    </w:rPr>
  </w:style>
  <w:style w:type="paragraph" w:styleId="TableofFigures">
    <w:name w:val="table of figures"/>
    <w:basedOn w:val="Normal"/>
    <w:uiPriority w:val="99"/>
    <w:unhideWhenUsed/>
    <w:pPr>
      <w:spacing w:before="0" w:afterAutospacing="0" w:after="0"/>
    </w:pPr>
    <w:rPr/>
  </w:style>
  <w:style w:type="paragraph" w:styleId="ConsPlusNormal" w:default="1" w:customStyle="1">
    <w:name w:val="ConsPlusNormal"/>
    <w:qFormat/>
    <w:pPr>
      <w:widowControl w:val="false"/>
      <w:suppressAutoHyphens w:val="true"/>
      <w:bidi w:val="0"/>
      <w:spacing w:before="0" w:after="0"/>
      <w:jc w:val="left"/>
    </w:pPr>
    <w:rPr>
      <w:rFonts w:ascii="Times New Roman" w:hAnsi="Times New Roman" w:eastAsia="Noto Serif CJK SC" w:cs="Times New Roman"/>
      <w:color w:val="auto"/>
      <w:kern w:val="0"/>
      <w:sz w:val="24"/>
      <w:szCs w:val="20"/>
      <w:lang w:val="ru-RU" w:eastAsia="ru-RU" w:bidi="ar-SA"/>
    </w:rPr>
  </w:style>
  <w:style w:type="paragraph" w:styleId="ConsPlusNonformat" w:customStyle="1">
    <w:name w:val="ConsPlusNonformat"/>
    <w:qFormat/>
    <w:pPr>
      <w:widowControl w:val="false"/>
      <w:suppressAutoHyphens w:val="true"/>
      <w:bidi w:val="0"/>
      <w:spacing w:before="0" w:after="0"/>
      <w:jc w:val="left"/>
    </w:pPr>
    <w:rPr>
      <w:rFonts w:ascii="Courier New" w:hAnsi="Courier New" w:eastAsia="Noto Serif CJK SC" w:cs="Courier New"/>
      <w:color w:val="auto"/>
      <w:kern w:val="0"/>
      <w:sz w:val="20"/>
      <w:szCs w:val="20"/>
      <w:lang w:val="ru-RU" w:eastAsia="ru-RU" w:bidi="ar-SA"/>
    </w:rPr>
  </w:style>
  <w:style w:type="paragraph" w:styleId="ConsPlusTitle" w:customStyle="1">
    <w:name w:val="ConsPlusTitle"/>
    <w:qFormat/>
    <w:pPr>
      <w:widowControl w:val="false"/>
      <w:suppressAutoHyphens w:val="true"/>
      <w:bidi w:val="0"/>
      <w:spacing w:before="0" w:after="0"/>
      <w:jc w:val="left"/>
    </w:pPr>
    <w:rPr>
      <w:rFonts w:ascii="Arial" w:hAnsi="Arial" w:eastAsia="Noto Serif CJK SC" w:cs="Arial"/>
      <w:b/>
      <w:color w:val="auto"/>
      <w:kern w:val="0"/>
      <w:sz w:val="24"/>
      <w:szCs w:val="20"/>
      <w:lang w:val="ru-RU" w:eastAsia="ru-RU" w:bidi="ar-SA"/>
    </w:rPr>
  </w:style>
  <w:style w:type="paragraph" w:styleId="ConsPlusCell" w:customStyle="1">
    <w:name w:val="ConsPlusCell"/>
    <w:qFormat/>
    <w:pPr>
      <w:widowControl w:val="false"/>
      <w:suppressAutoHyphens w:val="true"/>
      <w:bidi w:val="0"/>
      <w:spacing w:before="0" w:after="0"/>
      <w:jc w:val="left"/>
    </w:pPr>
    <w:rPr>
      <w:rFonts w:ascii="Courier New" w:hAnsi="Courier New" w:eastAsia="Noto Serif CJK SC" w:cs="Courier New"/>
      <w:color w:val="auto"/>
      <w:kern w:val="0"/>
      <w:sz w:val="20"/>
      <w:szCs w:val="20"/>
      <w:lang w:val="ru-RU" w:eastAsia="ru-RU" w:bidi="ar-SA"/>
    </w:rPr>
  </w:style>
  <w:style w:type="paragraph" w:styleId="ConsPlusDocList" w:customStyle="1">
    <w:name w:val="ConsPlusDocList"/>
    <w:qFormat/>
    <w:pPr>
      <w:widowControl w:val="false"/>
      <w:suppressAutoHyphens w:val="true"/>
      <w:bidi w:val="0"/>
      <w:spacing w:before="0" w:after="0"/>
      <w:jc w:val="left"/>
    </w:pPr>
    <w:rPr>
      <w:rFonts w:ascii="Tahoma" w:hAnsi="Tahoma" w:eastAsia="Noto Serif CJK SC" w:cs="Tahoma"/>
      <w:color w:val="auto"/>
      <w:kern w:val="0"/>
      <w:sz w:val="18"/>
      <w:szCs w:val="20"/>
      <w:lang w:val="ru-RU" w:eastAsia="ru-RU" w:bidi="ar-SA"/>
    </w:rPr>
  </w:style>
  <w:style w:type="paragraph" w:styleId="ConsPlusTitlePage" w:customStyle="1">
    <w:name w:val="ConsPlusTitlePage"/>
    <w:qFormat/>
    <w:pPr>
      <w:widowControl w:val="false"/>
      <w:suppressAutoHyphens w:val="true"/>
      <w:bidi w:val="0"/>
      <w:spacing w:before="0" w:after="0"/>
      <w:jc w:val="left"/>
    </w:pPr>
    <w:rPr>
      <w:rFonts w:ascii="Tahoma" w:hAnsi="Tahoma" w:eastAsia="Noto Serif CJK SC" w:cs="Tahoma"/>
      <w:color w:val="auto"/>
      <w:kern w:val="0"/>
      <w:sz w:val="20"/>
      <w:szCs w:val="20"/>
      <w:lang w:val="ru-RU" w:eastAsia="ru-RU" w:bidi="ar-SA"/>
    </w:rPr>
  </w:style>
  <w:style w:type="paragraph" w:styleId="ConsPlusJurTerm" w:customStyle="1">
    <w:name w:val="ConsPlusJurTerm"/>
    <w:qFormat/>
    <w:pPr>
      <w:widowControl w:val="false"/>
      <w:suppressAutoHyphens w:val="true"/>
      <w:bidi w:val="0"/>
      <w:spacing w:before="0" w:after="0"/>
      <w:jc w:val="left"/>
    </w:pPr>
    <w:rPr>
      <w:rFonts w:ascii="Tahoma" w:hAnsi="Tahoma" w:eastAsia="Noto Serif CJK SC" w:cs="Tahoma"/>
      <w:color w:val="auto"/>
      <w:kern w:val="0"/>
      <w:sz w:val="26"/>
      <w:szCs w:val="20"/>
      <w:lang w:val="ru-RU" w:eastAsia="ru-RU" w:bidi="ar-SA"/>
    </w:rPr>
  </w:style>
  <w:style w:type="paragraph" w:styleId="ConsPlusTextList" w:customStyle="1">
    <w:name w:val="ConsPlusTextList"/>
    <w:qFormat/>
    <w:pPr>
      <w:widowControl w:val="false"/>
      <w:suppressAutoHyphens w:val="true"/>
      <w:bidi w:val="0"/>
      <w:spacing w:before="0" w:after="0"/>
      <w:jc w:val="left"/>
    </w:pPr>
    <w:rPr>
      <w:rFonts w:ascii="Times New Roman" w:hAnsi="Times New Roman" w:eastAsia="Noto Serif CJK SC" w:cs="Times New Roman"/>
      <w:color w:val="auto"/>
      <w:kern w:val="0"/>
      <w:sz w:val="24"/>
      <w:szCs w:val="20"/>
      <w:lang w:val="ru-RU" w:eastAsia="ru-RU" w:bidi="ar-SA"/>
    </w:rPr>
  </w:style>
  <w:style w:type="paragraph" w:styleId="11" w:customStyle="1">
    <w:name w:val="Основной текст1"/>
    <w:basedOn w:val="Heading4"/>
    <w:qFormat/>
    <w:pPr>
      <w:keepNext w:val="false"/>
      <w:keepLines w:val="false"/>
      <w:pageBreakBefore w:val="false"/>
      <w:widowControl w:val="false"/>
      <w:shd w:val="nil" w:color="auto"/>
      <w:spacing w:lineRule="auto" w:line="240" w:beforeAutospacing="0" w:before="0" w:afterAutospacing="0" w:after="0"/>
      <w:ind w:firstLine="400" w:left="0" w:right="0"/>
      <w:jc w:val="left"/>
    </w:pPr>
    <w:rPr>
      <w:rFonts w:ascii="Times New Roman" w:hAnsi="Times New Roman" w:eastAsia="Times New Roman" w:cs="Times New Roman"/>
      <w:b w:val="false"/>
      <w:bCs w:val="false"/>
      <w:i w:val="false"/>
      <w:iCs w:val="false"/>
      <w:caps w:val="false"/>
      <w:smallCaps w:val="false"/>
      <w:strike w:val="false"/>
      <w:dstrike w:val="false"/>
      <w:vanish w:val="false"/>
      <w:color w:val="auto"/>
      <w:spacing w:val="0"/>
      <w:position w:val="0"/>
      <w:sz w:val="28"/>
      <w:sz w:val="28"/>
      <w:szCs w:val="28"/>
      <w:u w:val="none"/>
      <w:vertAlign w:val="baseline"/>
      <w:lang w:val="ru-RU" w:eastAsia="ru-RU" w:bidi="ar-SA"/>
    </w:rPr>
  </w:style>
  <w:style w:type="numbering" w:styleId="user4" w:default="1">
    <w:name w:val="Без списка (user)"/>
    <w:uiPriority w:val="99"/>
    <w:semiHidden/>
    <w:unhideWhenUsed/>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rovenkiadm.gosuslugi.ru/" TargetMode="External"/><Relationship Id="rId4" Type="http://schemas.openxmlformats.org/officeDocument/2006/relationships/hyperlink" Target="consultantplus://offline/ref=1D4E32A31A176726FF77A9EFC32AC1AADF1A11E10915B9C2EAEB08B6420BA89D40859BD429157DACE57252E5F3UAyEH" TargetMode="External"/><Relationship Id="rId5" Type="http://schemas.openxmlformats.org/officeDocument/2006/relationships/hyperlink" Target="https://docs.cntd.ru/document/565415215" TargetMode="External"/><Relationship Id="rId6" Type="http://schemas.openxmlformats.org/officeDocument/2006/relationships/hyperlink" Target="https://login.consultant.ru/link/?req=doc&amp;base=LAW&amp;n=465728&amp;dst=100512" TargetMode="External"/><Relationship Id="rId7" Type="http://schemas.openxmlformats.org/officeDocument/2006/relationships/hyperlink" Target="https://login.consultant.ru/link/?req=doc&amp;base=LAW&amp;n=403777&amp;dst=100762" TargetMode="External"/><Relationship Id="rId8" Type="http://schemas.openxmlformats.org/officeDocument/2006/relationships/hyperlink" Target="https://login.consultant.ru/link/?req=doc&amp;base=LAW&amp;n=465728&amp;dst=101267" TargetMode="External"/><Relationship Id="rId9" Type="http://schemas.openxmlformats.org/officeDocument/2006/relationships/hyperlink" Target="https://login.consultant.ru/link/?req=doc&amp;base=LAW&amp;n=403777" TargetMode="External"/><Relationship Id="rId10" Type="http://schemas.openxmlformats.org/officeDocument/2006/relationships/hyperlink" Target="https://login.consultant.ru/link/?req=doc&amp;base=LAW&amp;n=477088&amp;dst=100011" TargetMode="External"/><Relationship Id="rId11" Type="http://schemas.openxmlformats.org/officeDocument/2006/relationships/hyperlink" Target="https://login.consultant.ru/link/?req=doc&amp;base=LAW&amp;n=465728&amp;dst=100636" TargetMode="External"/><Relationship Id="rId12" Type="http://schemas.openxmlformats.org/officeDocument/2006/relationships/hyperlink" Target="https://login.consultant.ru/link/?req=doc&amp;base=LAW&amp;n=465728&amp;dst=101187" TargetMode="External"/><Relationship Id="rId13" Type="http://schemas.openxmlformats.org/officeDocument/2006/relationships/hyperlink" Target="https://login.consultant.ru/link/?req=doc&amp;base=LAW&amp;n=465728&amp;dst=100225" TargetMode="External"/><Relationship Id="rId14" Type="http://schemas.openxmlformats.org/officeDocument/2006/relationships/hyperlink" Target="https://login.consultant.ru/link/?req=doc&amp;base=LAW&amp;n=465728&amp;dst=100225" TargetMode="External"/><Relationship Id="rId15" Type="http://schemas.openxmlformats.org/officeDocument/2006/relationships/hyperlink" Target="https://login.consultant.ru/link/?req=doc&amp;base=LAW&amp;n=465728&amp;dst=100639" TargetMode="External"/><Relationship Id="rId16" Type="http://schemas.openxmlformats.org/officeDocument/2006/relationships/hyperlink" Target="https://login.consultant.ru/link/?req=doc&amp;base=LAW&amp;n=465728" TargetMode="External"/><Relationship Id="rId17" Type="http://schemas.openxmlformats.org/officeDocument/2006/relationships/hyperlink" Target="https://login.consultant.ru/link/?req=doc&amp;base=LAW&amp;n=465728&amp;dst=101127" TargetMode="External"/><Relationship Id="rId18" Type="http://schemas.openxmlformats.org/officeDocument/2006/relationships/hyperlink" Target="https://login.consultant.ru/link/?req=doc&amp;base=LAW&amp;n=465728&amp;dst=101128" TargetMode="External"/><Relationship Id="rId19" Type="http://schemas.openxmlformats.org/officeDocument/2006/relationships/hyperlink" Target="https://login.consultant.ru/link/?req=doc&amp;base=LAW&amp;n=403777&amp;dst=100406" TargetMode="External"/><Relationship Id="rId20" Type="http://schemas.openxmlformats.org/officeDocument/2006/relationships/hyperlink" Target="https://login.consultant.ru/link/?req=doc&amp;base=LAW&amp;n=465728&amp;dst=100998" TargetMode="External"/><Relationship Id="rId21" Type="http://schemas.openxmlformats.org/officeDocument/2006/relationships/hyperlink" Target="https://login.consultant.ru/link/?req=doc&amp;base=LAW&amp;n=465728&amp;dst=100998" TargetMode="External"/><Relationship Id="rId22" Type="http://schemas.openxmlformats.org/officeDocument/2006/relationships/hyperlink" Target="https://login.consultant.ru/link/?req=doc&amp;base=LAW&amp;n=465728" TargetMode="External"/><Relationship Id="rId23" Type="http://schemas.openxmlformats.org/officeDocument/2006/relationships/header" Target="header1.xml"/><Relationship Id="rId24" Type="http://schemas.openxmlformats.org/officeDocument/2006/relationships/header" Target="header2.xml"/><Relationship Id="rId25" Type="http://schemas.openxmlformats.org/officeDocument/2006/relationships/header" Target="header3.xml"/><Relationship Id="rId26" Type="http://schemas.openxmlformats.org/officeDocument/2006/relationships/footer" Target="footer1.xml"/><Relationship Id="rId27" Type="http://schemas.openxmlformats.org/officeDocument/2006/relationships/footer" Target="footer2.xml"/><Relationship Id="rId28" Type="http://schemas.openxmlformats.org/officeDocument/2006/relationships/footer" Target="footer3.xml"/><Relationship Id="rId29" Type="http://schemas.openxmlformats.org/officeDocument/2006/relationships/numbering" Target="numbering.xml"/><Relationship Id="rId30" Type="http://schemas.openxmlformats.org/officeDocument/2006/relationships/fontTable" Target="fontTable.xml"/><Relationship Id="rId31" Type="http://schemas.openxmlformats.org/officeDocument/2006/relationships/settings" Target="settings.xml"/><Relationship Id="rId32" Type="http://schemas.openxmlformats.org/officeDocument/2006/relationships/theme" Target="theme/theme1.xml"/><Relationship Id="rId33"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pitchFamily="0" charset="1"/>
        <a:ea typeface="Arial" pitchFamily="0" charset="1"/>
        <a:cs typeface="Arial" pitchFamily="0" charset="1"/>
      </a:majorFont>
      <a:minorFont>
        <a:latin typeface="Arial"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a:ln w="25400"/>
        <a:ln w="38100"/>
      </a:lnStyleLst>
      <a:effectStyleLst>
        <a:effectStyle>
          <a:effectLst/>
        </a:effectStyle>
        <a:effectStyle>
          <a:effectLst/>
        </a:effectStyle>
        <a:effectStyle>
          <a:effectLst/>
        </a:effectStyle>
      </a:effectStyleLst>
      <a:bgFillStyleLst>
        <a:solidFill>
          <a:schemeClr val="phClr"/>
        </a:solidFill>
        <a:solidFill>
          <a:srgbClr val="000000"/>
        </a:solidFill>
        <a:solidFill>
          <a:srgbClr val="000000"/>
        </a:soli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nlyoffice.com/settingsCustom"/>
  </ds:schemaRefs>
</ds:datastoreItem>
</file>

<file path=docProps/app.xml><?xml version="1.0" encoding="utf-8"?>
<Properties xmlns="http://schemas.openxmlformats.org/officeDocument/2006/extended-properties" xmlns:vt="http://schemas.openxmlformats.org/officeDocument/2006/docPropsVTypes">
  <Template/>
  <TotalTime>22</TotalTime>
  <Application>LibreOffice/25.2.3.2$Linux_X86_64 LibreOffice_project/520$Build-2</Application>
  <AppVersion>15.0000</AppVersion>
  <Pages>26</Pages>
  <Words>7638</Words>
  <Characters>56552</Characters>
  <CharactersWithSpaces>64779</CharactersWithSpaces>
  <Paragraphs>295</Paragraphs>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cp:lastPrinted>2026-08-05T09:25:35Z</cp:lastPrinted>
  <dcterms:modified xsi:type="dcterms:W3CDTF">2026-08-05T09:25:26Z</dcterms:modified>
  <cp:revision>16</cp:revision>
  <dc:subject/>
  <dc:title>Решение Совета депутатов Губкинского городского округа Белгородской обл. от 27.08.2025 N 4-нпа
"Об утверждении Положения о муниципальном земельном контроле на территории Губкинского городского округа Белгородской области"</dc:title>
</cp:coreProperties>
</file>

<file path=docProps/custom.xml><?xml version="1.0" encoding="utf-8"?>
<Properties xmlns="http://schemas.openxmlformats.org/officeDocument/2006/custom-properties" xmlns:vt="http://schemas.openxmlformats.org/officeDocument/2006/docPropsVTypes"/>
</file>