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«26» сентября 2025 года</w:t>
        <w:tab/>
        <w:t xml:space="preserve">     </w:t>
        <w:tab/>
        <w:tab/>
        <w:tab/>
        <w:tab/>
        <w:tab/>
        <w:tab/>
        <w:t xml:space="preserve">           № 1/7</w:t>
      </w:r>
    </w:p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 утверждении состава постоянных комиссий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Совета депутатов Ровеньского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Белгородской области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 основании заявлений депутатов Совета депутатов Ровеньского муниципального округа Белгородской области, 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iCs w:val="false"/>
          <w:sz w:val="28"/>
          <w:szCs w:val="28"/>
          <w:lang w:eastAsia="ru-RU"/>
        </w:rPr>
        <w:t>Совет депутатов Ровеньского муниципального округа</w:t>
      </w:r>
      <w:r>
        <w:rPr>
          <w:rFonts w:eastAsia="Calibri" w:cs="Times New Roman" w:ascii="Times New Roman" w:hAnsi="Times New Roman"/>
          <w:sz w:val="28"/>
          <w:szCs w:val="28"/>
        </w:rPr>
        <w:t xml:space="preserve"> решил: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 Сформировать постоянные комиссии Совета депутатов Ровеньского муниципального округа Белгородской области первого созыва в следующем составе: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 по муниципальной собственности, бюджетной и экономической политике:</w:t>
      </w:r>
    </w:p>
    <w:p>
      <w:pPr>
        <w:pStyle w:val="Normal"/>
        <w:shd w:val="clear" w:color="auto" w:fill="FFFFFF"/>
        <w:tabs>
          <w:tab w:val="clear" w:pos="708"/>
          <w:tab w:val="left" w:pos="420" w:leader="none"/>
        </w:tabs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Колтаков Сергей Ильич, депутат по одномандатному избирательному округу №2;</w:t>
      </w:r>
    </w:p>
    <w:p>
      <w:pPr>
        <w:pStyle w:val="Normal"/>
        <w:shd w:val="clear" w:color="auto" w:fill="FFFFFF"/>
        <w:tabs>
          <w:tab w:val="clear" w:pos="708"/>
          <w:tab w:val="left" w:pos="420" w:leader="none"/>
        </w:tabs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Мягкая Наталья Васильевна, депутат по единому избирательному округу;</w:t>
      </w:r>
    </w:p>
    <w:p>
      <w:pPr>
        <w:pStyle w:val="Normal"/>
        <w:shd w:val="clear" w:color="auto" w:fill="FFFFFF"/>
        <w:tabs>
          <w:tab w:val="clear" w:pos="708"/>
          <w:tab w:val="left" w:pos="420" w:leader="none"/>
        </w:tabs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Пилипенко Сергей Михайлович, депутат по одномандатному избирательному округу №4;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Шевченко Светлана Николаевна, депутат по единому избирательному округу;</w:t>
      </w:r>
    </w:p>
    <w:p>
      <w:pPr>
        <w:pStyle w:val="Normal"/>
        <w:shd w:val="clear" w:color="auto" w:fill="FFFFFF"/>
        <w:tabs>
          <w:tab w:val="clear" w:pos="708"/>
          <w:tab w:val="left" w:pos="420" w:leader="none"/>
        </w:tabs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Шугайлов Александр Иванович, депутат по единому избирательному округу;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>) по градостроительству, жилищно-коммунальному хозяйству и вопросам экологии: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Иванов Николай Сергеевич, депутат по одномандатному избирательному округу № 5;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Лазуренко Виталий Петрович, депутат по единому избирательному округу;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Пигунов Роман Петрович, депутат по одномандатному избирательному округу №1;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Ряднов Юрий Иванович, депутат по единому избирательному округу;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Хлапонин Сергей Александрович, депутат по одномандатному избирательному округу №3;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3) по вопросам законности и развития местного самоуправления: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Баринов Сергей Вячеславович, депутат по единому избирательному округу;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Ивасив Ирина Геннадьевна, депутат по единому избирательному округу;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Козаченко Элеонора Александровна, депутат по единому избирательному округу;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Оголь Марина Владимировна, депутат по одномандатному избирательному округу №6;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4) по социальной политике и развитию солидарного общества: 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Бычкова Елена Григорьевна, депутат по одномандатному избирательному округу №7;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Исхаков Дмитрий Борисович, депутат по единому избирательному округу;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Попова Анна Сергеевна, депутат по единому избирательному округу;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Титовская Вера Ивановна, депутат по единому избирательному округу,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Шептухина Светлана Ивановна, депутат по единому избирательному округу.</w:t>
      </w:r>
    </w:p>
    <w:p>
      <w:pPr>
        <w:pStyle w:val="Normal"/>
        <w:spacing w:lineRule="auto" w:line="240" w:before="0" w:afterAutospacing="0" w:after="0"/>
        <w:ind w:firstLine="709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2. Настоящее решение вступает в силу со дня его принятия.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b/>
          <w:bCs/>
        </w:rPr>
      </w:pPr>
      <w:r>
        <w:rPr>
          <w:rFonts w:eastAsia="Calibri" w:cs="Tahoma" w:ascii="PT Astra Serif" w:hAnsi="PT Astra Serif"/>
          <w:b/>
          <w:bCs/>
          <w:sz w:val="28"/>
          <w:szCs w:val="28"/>
        </w:rPr>
        <w:t>Председатель Совета депутатов</w:t>
      </w:r>
    </w:p>
    <w:p>
      <w:pPr>
        <w:pStyle w:val="Normal"/>
        <w:widowControl w:val="false"/>
        <w:spacing w:lineRule="auto" w:line="240" w:before="0" w:after="0"/>
        <w:jc w:val="both"/>
        <w:rPr>
          <w:b/>
          <w:bCs/>
        </w:rPr>
      </w:pPr>
      <w:r>
        <w:rPr>
          <w:rFonts w:eastAsia="Calibri" w:cs="Tahoma" w:ascii="PT Astra Serif" w:hAnsi="PT Astra Serif"/>
          <w:b/>
          <w:bCs/>
          <w:sz w:val="28"/>
          <w:szCs w:val="28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both"/>
        <w:rPr>
          <w:b/>
          <w:bCs/>
        </w:rPr>
      </w:pPr>
      <w:r>
        <w:rPr>
          <w:rFonts w:eastAsia="Calibri" w:cs="Tahoma" w:ascii="PT Astra Serif" w:hAnsi="PT Astra Serif"/>
          <w:b/>
          <w:bCs/>
          <w:sz w:val="28"/>
          <w:szCs w:val="28"/>
        </w:rPr>
        <w:t xml:space="preserve">Белгородской области                                                                      В. А. Некрасов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Calibri" w:cs="Times New Roman"/>
          <w:b/>
          <w:bCs/>
          <w:sz w:val="28"/>
          <w:szCs w:val="28"/>
        </w:rPr>
      </w:pPr>
      <w:r>
        <w:rPr>
          <w:rFonts w:eastAsia="Calibri" w:cs="Times New Roman" w:ascii="PT Astra Serif" w:hAnsi="PT Astra Serif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Arial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Times New Roman" w:ascii="PT Astra Serif" w:hAnsi="PT Astra Serif" w:eastAsiaTheme="minorHAnsi"/>
          <w:b/>
          <w:bCs/>
          <w:sz w:val="28"/>
          <w:szCs w:val="28"/>
          <w:shd w:fill="auto" w:val="clear"/>
        </w:rPr>
        <w:t xml:space="preserve">Председатель Муниципального совета 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eastAsia="Calibri" w:cs="Times New Roman" w:ascii="PT Astra Serif" w:hAnsi="PT Astra Serif" w:eastAsiaTheme="minorHAnsi"/>
          <w:b/>
          <w:bCs/>
          <w:sz w:val="28"/>
          <w:szCs w:val="28"/>
          <w:shd w:fill="auto" w:val="clear"/>
        </w:rPr>
        <w:t xml:space="preserve">Ровеньского района                    </w:t>
      </w:r>
      <w:r>
        <w:rPr>
          <w:rFonts w:eastAsia="Calibri" w:cs="Times New Roman" w:ascii="PT Astra Serif" w:hAnsi="PT Astra Serif" w:eastAsiaTheme="minorHAnsi"/>
          <w:b/>
          <w:bCs/>
          <w:sz w:val="28"/>
          <w:szCs w:val="28"/>
        </w:rPr>
        <w:t xml:space="preserve">                                                      </w:t>
      </w:r>
      <w:r>
        <w:rPr>
          <w:rFonts w:eastAsia="Calibri" w:cs="Times New Roman" w:ascii="PT Astra Serif" w:hAnsi="PT Astra Serif" w:eastAsiaTheme="minorHAnsi"/>
          <w:b/>
          <w:bCs/>
          <w:i w:val="false"/>
          <w:iCs w:val="false"/>
          <w:sz w:val="28"/>
          <w:szCs w:val="28"/>
          <w:u w:val="none"/>
        </w:rPr>
        <w:t xml:space="preserve"> В.А. Некрасов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eastAsia="Calibri" w:cs="Times New Roman" w:ascii="Times New Roman" w:hAnsi="Times New Roman" w:eastAsiaTheme="minorHAnsi"/>
          <w:b/>
          <w:bCs/>
          <w:sz w:val="28"/>
          <w:szCs w:val="20"/>
          <w:lang w:eastAsia="ru-RU"/>
        </w:rPr>
        <w:tab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auto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8.1pt;margin-top:0.05pt;width:5.6pt;height:13.3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semiHidden/>
    <w:qFormat/>
    <w:rPr/>
  </w:style>
  <w:style w:type="character" w:styleId="PageNumber">
    <w:name w:val="page number"/>
    <w:basedOn w:val="DefaultParagraphFont"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0">
    <w:name w:val="Содержимое врезки"/>
    <w:basedOn w:val="Normal"/>
    <w:qFormat/>
    <w:pPr/>
    <w:rPr/>
  </w:style>
  <w:style w:type="numbering" w:styleId="Style11" w:default="1">
    <w:name w:val="Без списка"/>
    <w:uiPriority w:val="99"/>
    <w:semiHidden/>
    <w:unhideWhenUsed/>
    <w:qFormat/>
  </w:style>
  <w:style w:type="table" w:styleId="715">
    <w:name w:val="Table Grid"/>
    <w:uiPriority w:val="59"/>
    <w:pPr>
      <w:spacing w:after="0" w:line="240" w:lineRule="auto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18">
    <w:name w:val="Plain Table 2"/>
    <w:uiPriority w:val="59"/>
    <w:pPr>
      <w:spacing w:after="0" w:line="240" w:lineRule="auto"/>
    </w:pPr>
    <w:tblPr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sz w:val="22"/>
      </w:rPr>
      <w:tblPr/>
      <w:tcPr>
        <w:shd w:val="clear" w:color="FFFFFF"/>
      </w:tcPr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  <w:sz w:val="22"/>
      </w:rPr>
      <w:tblPr/>
      <w:tcPr>
        <w:shd w:val="clear" w:color="FFFFFF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sz w:val="22"/>
      </w:rPr>
      <w:tblPr/>
      <w:tcPr>
        <w:shd w:val="clear" w:color="FFFFFF"/>
      </w:tcPr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  <w:sz w:val="22"/>
      </w:rPr>
      <w:tblPr/>
      <w:tcPr>
        <w:shd w:val="clear" w:color="FFFFFF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sz w:val="22"/>
      </w:rPr>
      <w:tblPr/>
      <w:tcPr>
        <w:shd w:val="clear" w:color="FFFFFF"/>
      </w:tcPr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  <w:sz w:val="22"/>
      </w:rPr>
      <w:tblPr/>
      <w:tcPr>
        <w:shd w:val="clear" w:color="FFFFFF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sz w:val="22"/>
      </w:rPr>
      <w:tblPr/>
      <w:tcPr>
        <w:shd w:val="clear" w:color="FFFFFF"/>
      </w:tcPr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  <w:sz w:val="22"/>
      </w:rPr>
      <w:tblPr/>
      <w:tcPr>
        <w:shd w:val="clear" w:color="FFFFFF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sz w:val="22"/>
      </w:rPr>
      <w:tblPr/>
      <w:tcPr>
        <w:shd w:val="clear" w:color="FFFFFF"/>
      </w:tcPr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  <w:sz w:val="22"/>
      </w:rPr>
      <w:tblPr/>
      <w:tcPr>
        <w:shd w:val="clear" w:color="FFFFFF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sz w:val="22"/>
      </w:rPr>
      <w:tblPr/>
      <w:tcPr>
        <w:shd w:val="clear" w:color="FFFFFF"/>
      </w:tcPr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  <w:sz w:val="22"/>
      </w:rPr>
      <w:tblPr/>
      <w:tcPr>
        <w:shd w:val="clear" w:color="FFFFFF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  <w:sz w:val="22"/>
      </w:rPr>
      <w:tblPr/>
      <w:tcPr>
        <w:shd w:val="clear" w:color="FFFFFF"/>
      </w:tcPr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  <w:sz w:val="22"/>
      </w:rPr>
      <w:tblPr/>
      <w:tcPr>
        <w:shd w:val="clear" w:color="FFFFFF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/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/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/>
      </w:tcPr>
    </w:tblStylePr>
    <w:tblStylePr w:type="band1Vert">
      <w:rPr>
        <w:sz w:val="22"/>
      </w:rPr>
      <w:tblPr/>
      <w:tcPr>
        <w:shd w:val="clear" w:color="FFFFF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/>
      </w:tcPr>
    </w:tblStylePr>
    <w:tblStylePr w:type="band1Vert">
      <w:tblPr/>
      <w:tcPr>
        <w:shd w:val="clear" w:color="FFFFFF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20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821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822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823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824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825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826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827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828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829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830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831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832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833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/>
      </w:tcPr>
    </w:tblStylePr>
    <w:tblStylePr w:type="band2Vert">
      <w:rPr>
        <w:sz w:val="22"/>
      </w:rPr>
      <w:tblPr/>
      <w:tcPr>
        <w:shd w:val="clear" w:color="FFFFFF"/>
      </w:tcPr>
    </w:tblStylePr>
    <w:tblStylePr w:type="firstCol">
      <w:rPr>
        <w:sz w:val="22"/>
      </w:rPr>
      <w:tblPr/>
      <w:tcPr>
        <w:shd w:val="clear" w:color="FFFFFF"/>
      </w:tcPr>
    </w:tblStylePr>
    <w:tblStylePr w:type="firstRow">
      <w:rPr>
        <w:sz w:val="22"/>
      </w:rPr>
      <w:tblPr/>
      <w:tcPr>
        <w:shd w:val="clear" w:color="FFFFFF"/>
      </w:tcPr>
    </w:tblStylePr>
    <w:tblStylePr w:type="lastCol">
      <w:rPr>
        <w:sz w:val="22"/>
      </w:rPr>
      <w:tblPr/>
      <w:tcPr>
        <w:shd w:val="clear" w:color="FFFFFF"/>
      </w:tcPr>
    </w:tblStylePr>
    <w:tblStylePr w:type="lastRow">
      <w:rPr>
        <w:sz w:val="22"/>
      </w:rPr>
      <w:tblPr/>
      <w:tcPr>
        <w:shd w:val="clear" w:color="FFFFFF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0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3</Pages>
  <Words>335</Words>
  <Characters>2494</Characters>
  <CharactersWithSpaces>3033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2025-07-30T14:49:00Z</dcterms:created>
  <dc:creator>Пушкина Яна Анатольевна</dc:creator>
  <dc:description/>
  <dc:language>ru-RU</dc:language>
  <cp:lastModifiedBy/>
  <dcterms:modified xsi:type="dcterms:W3CDTF">2025-09-26T14:40:59Z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